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6B255" w14:textId="77777777" w:rsidR="00581B10" w:rsidRPr="00B33845" w:rsidRDefault="00581B10" w:rsidP="001D4FAB">
      <w:pPr>
        <w:pStyle w:val="Heading1"/>
        <w:spacing w:line="276" w:lineRule="auto"/>
        <w:jc w:val="both"/>
      </w:pPr>
      <w:r w:rsidRPr="00B33845">
        <w:t>Tenant Satisfaction Measures (TSMs) 2025 to 2026</w:t>
      </w:r>
    </w:p>
    <w:p w14:paraId="3CB43375" w14:textId="77777777" w:rsidR="00581B10" w:rsidRPr="007C2203" w:rsidRDefault="00581B10" w:rsidP="001D4FAB">
      <w:pPr>
        <w:spacing w:line="276" w:lineRule="auto"/>
        <w:jc w:val="both"/>
      </w:pPr>
      <w:hyperlink r:id="rId8" w:history="1">
        <w:r w:rsidRPr="00DB0FB8">
          <w:rPr>
            <w:rStyle w:val="Hyperlink"/>
          </w:rPr>
          <w:t>Tenant Satisfaction Measures (TSMs)</w:t>
        </w:r>
      </w:hyperlink>
      <w:r w:rsidRPr="007C2203">
        <w:t xml:space="preserve"> were introduced by the Regulator of Social Housing under the Social Housing Regulatory Act 2023. These measures are designed to assess how effectively social landlords deliver quality homes and services.</w:t>
      </w:r>
    </w:p>
    <w:p w14:paraId="6826DB67" w14:textId="0A3AF1A8" w:rsidR="00581B10" w:rsidRPr="007C2203" w:rsidRDefault="287A9D39" w:rsidP="001D4FAB">
      <w:pPr>
        <w:spacing w:line="276" w:lineRule="auto"/>
        <w:jc w:val="both"/>
      </w:pPr>
      <w:r>
        <w:t>Since 2023/24, a</w:t>
      </w:r>
      <w:r w:rsidR="111E6BC9">
        <w:t>ll social housing providers are required to report their performance annually, covering the period from 1 April to 31 March</w:t>
      </w:r>
      <w:r w:rsidR="2F8F9747">
        <w:t>.</w:t>
      </w:r>
    </w:p>
    <w:p w14:paraId="35BBFEB2" w14:textId="77777777" w:rsidR="00581B10" w:rsidRPr="007C2203" w:rsidRDefault="00581B10" w:rsidP="001D4FAB">
      <w:pPr>
        <w:spacing w:line="276" w:lineRule="auto"/>
        <w:jc w:val="both"/>
      </w:pPr>
      <w:r w:rsidRPr="007C2203">
        <w:t>The TSM framework focuses on five key areas:</w:t>
      </w:r>
    </w:p>
    <w:p w14:paraId="0826CB4F" w14:textId="77777777" w:rsidR="00581B10" w:rsidRPr="007C2203" w:rsidRDefault="00581B10" w:rsidP="001D4FAB">
      <w:pPr>
        <w:numPr>
          <w:ilvl w:val="0"/>
          <w:numId w:val="3"/>
        </w:numPr>
        <w:spacing w:line="276" w:lineRule="auto"/>
        <w:jc w:val="both"/>
      </w:pPr>
      <w:r w:rsidRPr="007C2203">
        <w:t>Housing repairs</w:t>
      </w:r>
    </w:p>
    <w:p w14:paraId="5352449A" w14:textId="77777777" w:rsidR="00581B10" w:rsidRPr="007C2203" w:rsidRDefault="00581B10" w:rsidP="001D4FAB">
      <w:pPr>
        <w:numPr>
          <w:ilvl w:val="0"/>
          <w:numId w:val="3"/>
        </w:numPr>
        <w:spacing w:line="276" w:lineRule="auto"/>
        <w:jc w:val="both"/>
      </w:pPr>
      <w:r w:rsidRPr="007C2203">
        <w:t>Building safety</w:t>
      </w:r>
    </w:p>
    <w:p w14:paraId="161EBCE9" w14:textId="77777777" w:rsidR="00581B10" w:rsidRPr="007C2203" w:rsidRDefault="00581B10" w:rsidP="001D4FAB">
      <w:pPr>
        <w:numPr>
          <w:ilvl w:val="0"/>
          <w:numId w:val="3"/>
        </w:numPr>
        <w:spacing w:line="276" w:lineRule="auto"/>
        <w:jc w:val="both"/>
      </w:pPr>
      <w:r w:rsidRPr="007C2203">
        <w:t>Tenant engagement</w:t>
      </w:r>
    </w:p>
    <w:p w14:paraId="3441FEE0" w14:textId="77777777" w:rsidR="00581B10" w:rsidRPr="007C2203" w:rsidRDefault="00581B10" w:rsidP="001D4FAB">
      <w:pPr>
        <w:numPr>
          <w:ilvl w:val="0"/>
          <w:numId w:val="3"/>
        </w:numPr>
        <w:spacing w:line="276" w:lineRule="auto"/>
        <w:jc w:val="both"/>
      </w:pPr>
      <w:r w:rsidRPr="007C2203">
        <w:t>Complaints handling</w:t>
      </w:r>
    </w:p>
    <w:p w14:paraId="62DBB51C" w14:textId="77777777" w:rsidR="00581B10" w:rsidRPr="007C2203" w:rsidRDefault="00581B10" w:rsidP="001D4FAB">
      <w:pPr>
        <w:numPr>
          <w:ilvl w:val="0"/>
          <w:numId w:val="3"/>
        </w:numPr>
        <w:spacing w:line="276" w:lineRule="auto"/>
        <w:jc w:val="both"/>
      </w:pPr>
      <w:r w:rsidRPr="007C2203">
        <w:t>Neighbourhood management</w:t>
      </w:r>
    </w:p>
    <w:p w14:paraId="21BFD5EE" w14:textId="77777777" w:rsidR="00581B10" w:rsidRPr="007C2203" w:rsidRDefault="00581B10" w:rsidP="001D4FAB">
      <w:pPr>
        <w:spacing w:line="276" w:lineRule="auto"/>
        <w:jc w:val="both"/>
      </w:pPr>
      <w:r w:rsidRPr="007C2203">
        <w:t>In total, there are 22 measures that must be reported. These include:</w:t>
      </w:r>
    </w:p>
    <w:p w14:paraId="577ECE5F" w14:textId="77777777" w:rsidR="00581B10" w:rsidRPr="007C2203" w:rsidRDefault="00581B10" w:rsidP="001D4FAB">
      <w:pPr>
        <w:numPr>
          <w:ilvl w:val="0"/>
          <w:numId w:val="1"/>
        </w:numPr>
        <w:spacing w:line="276" w:lineRule="auto"/>
        <w:jc w:val="both"/>
      </w:pPr>
      <w:r w:rsidRPr="007C2203">
        <w:t>12 tenant perception measures, which reflect tenants’ satisfaction with the services provided</w:t>
      </w:r>
    </w:p>
    <w:p w14:paraId="36BFF438" w14:textId="77777777" w:rsidR="00581B10" w:rsidRPr="007C2203" w:rsidRDefault="00581B10" w:rsidP="001D4FAB">
      <w:pPr>
        <w:numPr>
          <w:ilvl w:val="0"/>
          <w:numId w:val="1"/>
        </w:numPr>
        <w:spacing w:line="276" w:lineRule="auto"/>
        <w:jc w:val="both"/>
      </w:pPr>
      <w:r w:rsidRPr="007C2203">
        <w:t>10 management information measures, based on internal performance data</w:t>
      </w:r>
    </w:p>
    <w:p w14:paraId="7D08DCC9" w14:textId="77777777" w:rsidR="00581B10" w:rsidRDefault="00581B10" w:rsidP="001D4FAB">
      <w:pPr>
        <w:spacing w:line="276" w:lineRule="auto"/>
        <w:jc w:val="both"/>
      </w:pPr>
      <w:r w:rsidRPr="007C2203">
        <w:t>These measures provide valuable insight into performance, helping landlords identify strengths and areas that need improvement.</w:t>
      </w:r>
    </w:p>
    <w:p w14:paraId="474E597D" w14:textId="77777777" w:rsidR="00B27F42" w:rsidRDefault="00B27F42" w:rsidP="001D4FAB">
      <w:pPr>
        <w:pStyle w:val="Heading1"/>
        <w:spacing w:line="276" w:lineRule="auto"/>
        <w:jc w:val="both"/>
      </w:pPr>
      <w:r>
        <w:t>Tenant perception measures</w:t>
      </w:r>
    </w:p>
    <w:p w14:paraId="23CBE42F" w14:textId="16C5B5E2" w:rsidR="00B27F42" w:rsidRDefault="00B27F42" w:rsidP="001D4FAB">
      <w:pPr>
        <w:spacing w:line="276" w:lineRule="auto"/>
        <w:jc w:val="both"/>
      </w:pPr>
      <w:r>
        <w:t xml:space="preserve">These 12 measures come from an independent tenant perception survey for 2025/26, shown against the Housemark national </w:t>
      </w:r>
      <w:r w:rsidR="00B33845">
        <w:t xml:space="preserve">median </w:t>
      </w:r>
      <w:r>
        <w:t xml:space="preserve">and </w:t>
      </w:r>
      <w:r w:rsidR="00B33845">
        <w:t xml:space="preserve">Housemark </w:t>
      </w:r>
      <w:r>
        <w:t>London medians.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26"/>
        <w:gridCol w:w="1800"/>
        <w:gridCol w:w="1800"/>
        <w:gridCol w:w="1800"/>
      </w:tblGrid>
      <w:tr w:rsidR="00B27F42" w14:paraId="504FA6D5" w14:textId="77777777" w:rsidTr="00016B87">
        <w:trPr>
          <w:tblHeader/>
        </w:trPr>
        <w:tc>
          <w:tcPr>
            <w:tcW w:w="3626"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5FFD9565" w14:textId="77777777" w:rsidR="00B27F42" w:rsidRDefault="00B27F42" w:rsidP="001D4FAB">
            <w:pPr>
              <w:spacing w:line="276" w:lineRule="auto"/>
              <w:jc w:val="both"/>
            </w:pPr>
            <w:r>
              <w:rPr>
                <w:b/>
                <w:bCs/>
                <w:color w:val="3A1539"/>
                <w:sz w:val="19"/>
                <w:szCs w:val="19"/>
              </w:rPr>
              <w:t>Measure</w:t>
            </w:r>
          </w:p>
        </w:tc>
        <w:tc>
          <w:tcPr>
            <w:tcW w:w="1800"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1E5937FC" w14:textId="77777777" w:rsidR="00B27F42" w:rsidRDefault="00B27F42" w:rsidP="001D4FAB">
            <w:pPr>
              <w:spacing w:line="276" w:lineRule="auto"/>
              <w:jc w:val="both"/>
            </w:pPr>
            <w:r>
              <w:rPr>
                <w:b/>
                <w:bCs/>
                <w:color w:val="3A1539"/>
                <w:sz w:val="19"/>
                <w:szCs w:val="19"/>
              </w:rPr>
              <w:t>Brent</w:t>
            </w:r>
          </w:p>
        </w:tc>
        <w:tc>
          <w:tcPr>
            <w:tcW w:w="1800"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5FC56E6D" w14:textId="77777777" w:rsidR="00B27F42" w:rsidRDefault="00B27F42" w:rsidP="001D4FAB">
            <w:pPr>
              <w:spacing w:line="276" w:lineRule="auto"/>
              <w:jc w:val="both"/>
            </w:pPr>
            <w:r>
              <w:rPr>
                <w:b/>
                <w:bCs/>
                <w:color w:val="3A1539"/>
                <w:sz w:val="19"/>
                <w:szCs w:val="19"/>
              </w:rPr>
              <w:t>National median</w:t>
            </w:r>
          </w:p>
        </w:tc>
        <w:tc>
          <w:tcPr>
            <w:tcW w:w="1800"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342A280F" w14:textId="77777777" w:rsidR="00B27F42" w:rsidRDefault="00B27F42" w:rsidP="001D4FAB">
            <w:pPr>
              <w:spacing w:line="276" w:lineRule="auto"/>
              <w:jc w:val="both"/>
            </w:pPr>
            <w:r>
              <w:rPr>
                <w:b/>
                <w:bCs/>
                <w:color w:val="3A1539"/>
                <w:sz w:val="19"/>
                <w:szCs w:val="19"/>
              </w:rPr>
              <w:t>London median</w:t>
            </w:r>
          </w:p>
        </w:tc>
      </w:tr>
      <w:tr w:rsidR="00B27F42" w14:paraId="0961F5AB" w14:textId="77777777" w:rsidTr="00016B87">
        <w:tc>
          <w:tcPr>
            <w:tcW w:w="3626"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1AC01BFD" w14:textId="77777777" w:rsidR="00B27F42" w:rsidRDefault="00B27F42" w:rsidP="001D4FAB">
            <w:pPr>
              <w:spacing w:line="276" w:lineRule="auto"/>
              <w:jc w:val="both"/>
            </w:pPr>
            <w:r>
              <w:rPr>
                <w:sz w:val="19"/>
                <w:szCs w:val="19"/>
              </w:rPr>
              <w:t>TP01: Overall satisfaction</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56FE6DE2" w14:textId="77777777" w:rsidR="00B27F42" w:rsidRDefault="00B27F42" w:rsidP="001D4FAB">
            <w:pPr>
              <w:spacing w:line="276" w:lineRule="auto"/>
              <w:jc w:val="both"/>
            </w:pPr>
            <w:r>
              <w:rPr>
                <w:b/>
                <w:bCs/>
                <w:sz w:val="19"/>
                <w:szCs w:val="19"/>
              </w:rPr>
              <w:t>51.6%</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79CA610C" w14:textId="77777777" w:rsidR="00B27F42" w:rsidRDefault="00B27F42" w:rsidP="001D4FAB">
            <w:pPr>
              <w:spacing w:line="276" w:lineRule="auto"/>
              <w:jc w:val="both"/>
            </w:pPr>
            <w:r>
              <w:rPr>
                <w:sz w:val="19"/>
                <w:szCs w:val="19"/>
              </w:rPr>
              <w:t>72.8%</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63FA036A" w14:textId="77777777" w:rsidR="00B27F42" w:rsidRDefault="00B27F42" w:rsidP="001D4FAB">
            <w:pPr>
              <w:spacing w:line="276" w:lineRule="auto"/>
              <w:jc w:val="both"/>
            </w:pPr>
            <w:r>
              <w:rPr>
                <w:sz w:val="19"/>
                <w:szCs w:val="19"/>
              </w:rPr>
              <w:t>61.6%</w:t>
            </w:r>
          </w:p>
        </w:tc>
      </w:tr>
      <w:tr w:rsidR="00B27F42" w14:paraId="2A93AD8D" w14:textId="77777777" w:rsidTr="00016B87">
        <w:tc>
          <w:tcPr>
            <w:tcW w:w="3626"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0E1A53C7" w14:textId="77777777" w:rsidR="00B27F42" w:rsidRDefault="00B27F42" w:rsidP="001D4FAB">
            <w:pPr>
              <w:spacing w:line="276" w:lineRule="auto"/>
              <w:jc w:val="both"/>
            </w:pPr>
            <w:r>
              <w:rPr>
                <w:sz w:val="19"/>
                <w:szCs w:val="19"/>
              </w:rPr>
              <w:t>TP02: Satisfaction with repairs</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230CA4AE" w14:textId="77777777" w:rsidR="00B27F42" w:rsidRDefault="00B27F42" w:rsidP="001D4FAB">
            <w:pPr>
              <w:spacing w:line="276" w:lineRule="auto"/>
              <w:jc w:val="both"/>
            </w:pPr>
            <w:r>
              <w:rPr>
                <w:b/>
                <w:bCs/>
                <w:sz w:val="19"/>
                <w:szCs w:val="19"/>
              </w:rPr>
              <w:t>57.5%</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37166135" w14:textId="77777777" w:rsidR="00B27F42" w:rsidRDefault="00B27F42" w:rsidP="001D4FAB">
            <w:pPr>
              <w:spacing w:line="276" w:lineRule="auto"/>
              <w:jc w:val="both"/>
            </w:pPr>
            <w:r>
              <w:rPr>
                <w:sz w:val="19"/>
                <w:szCs w:val="19"/>
              </w:rPr>
              <w:t>74.0%</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709BF85B" w14:textId="77777777" w:rsidR="00B27F42" w:rsidRDefault="00B27F42" w:rsidP="001D4FAB">
            <w:pPr>
              <w:spacing w:line="276" w:lineRule="auto"/>
              <w:jc w:val="both"/>
            </w:pPr>
            <w:r>
              <w:rPr>
                <w:sz w:val="19"/>
                <w:szCs w:val="19"/>
              </w:rPr>
              <w:t>64.5%</w:t>
            </w:r>
          </w:p>
        </w:tc>
      </w:tr>
      <w:tr w:rsidR="00B27F42" w14:paraId="2BA285F0" w14:textId="77777777" w:rsidTr="00016B87">
        <w:tc>
          <w:tcPr>
            <w:tcW w:w="3626"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7E75C2AD" w14:textId="77777777" w:rsidR="00B27F42" w:rsidRDefault="00B27F42" w:rsidP="001D4FAB">
            <w:pPr>
              <w:spacing w:line="276" w:lineRule="auto"/>
              <w:jc w:val="both"/>
            </w:pPr>
            <w:r>
              <w:rPr>
                <w:sz w:val="19"/>
                <w:szCs w:val="19"/>
              </w:rPr>
              <w:t>TP03: Time taken to complete the most recent repair</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06BA597E" w14:textId="77777777" w:rsidR="00B27F42" w:rsidRDefault="00B27F42" w:rsidP="001D4FAB">
            <w:pPr>
              <w:spacing w:line="276" w:lineRule="auto"/>
              <w:jc w:val="both"/>
            </w:pPr>
            <w:r>
              <w:rPr>
                <w:b/>
                <w:bCs/>
                <w:sz w:val="19"/>
                <w:szCs w:val="19"/>
              </w:rPr>
              <w:t>54.7%</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3607E6F4" w14:textId="77777777" w:rsidR="00B27F42" w:rsidRDefault="00B27F42" w:rsidP="001D4FAB">
            <w:pPr>
              <w:spacing w:line="276" w:lineRule="auto"/>
              <w:jc w:val="both"/>
            </w:pPr>
            <w:r>
              <w:rPr>
                <w:sz w:val="19"/>
                <w:szCs w:val="19"/>
              </w:rPr>
              <w:t>69.8%</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6833F09C" w14:textId="77777777" w:rsidR="00B27F42" w:rsidRDefault="00B27F42" w:rsidP="001D4FAB">
            <w:pPr>
              <w:spacing w:line="276" w:lineRule="auto"/>
              <w:jc w:val="both"/>
            </w:pPr>
            <w:r>
              <w:rPr>
                <w:sz w:val="19"/>
                <w:szCs w:val="19"/>
              </w:rPr>
              <w:t>60.2%</w:t>
            </w:r>
          </w:p>
        </w:tc>
      </w:tr>
      <w:tr w:rsidR="00B27F42" w14:paraId="332E6C0A" w14:textId="77777777" w:rsidTr="00016B87">
        <w:tc>
          <w:tcPr>
            <w:tcW w:w="3626"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14F905EE" w14:textId="77777777" w:rsidR="00B27F42" w:rsidRDefault="00B27F42" w:rsidP="001D4FAB">
            <w:pPr>
              <w:spacing w:line="276" w:lineRule="auto"/>
              <w:jc w:val="both"/>
            </w:pPr>
            <w:r>
              <w:rPr>
                <w:sz w:val="19"/>
                <w:szCs w:val="19"/>
              </w:rPr>
              <w:t>TP04: Home is well maintained</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306548B7" w14:textId="77777777" w:rsidR="00B27F42" w:rsidRDefault="00B27F42" w:rsidP="001D4FAB">
            <w:pPr>
              <w:spacing w:line="276" w:lineRule="auto"/>
              <w:jc w:val="both"/>
            </w:pPr>
            <w:r>
              <w:rPr>
                <w:b/>
                <w:bCs/>
                <w:sz w:val="19"/>
                <w:szCs w:val="19"/>
              </w:rPr>
              <w:t>50.0%</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38A3525F" w14:textId="77777777" w:rsidR="00B27F42" w:rsidRDefault="00B27F42" w:rsidP="001D4FAB">
            <w:pPr>
              <w:spacing w:line="276" w:lineRule="auto"/>
              <w:jc w:val="both"/>
            </w:pPr>
            <w:r>
              <w:rPr>
                <w:sz w:val="19"/>
                <w:szCs w:val="19"/>
              </w:rPr>
              <w:t>72.7%</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6C9BE1B2" w14:textId="77777777" w:rsidR="00B27F42" w:rsidRDefault="00B27F42" w:rsidP="001D4FAB">
            <w:pPr>
              <w:spacing w:line="276" w:lineRule="auto"/>
              <w:jc w:val="both"/>
            </w:pPr>
            <w:r>
              <w:rPr>
                <w:sz w:val="19"/>
                <w:szCs w:val="19"/>
              </w:rPr>
              <w:t>62.8%</w:t>
            </w:r>
          </w:p>
        </w:tc>
      </w:tr>
      <w:tr w:rsidR="00B27F42" w14:paraId="5B8C93D0" w14:textId="77777777" w:rsidTr="00016B87">
        <w:tc>
          <w:tcPr>
            <w:tcW w:w="3626"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16F39793" w14:textId="77777777" w:rsidR="00B27F42" w:rsidRDefault="00B27F42" w:rsidP="001D4FAB">
            <w:pPr>
              <w:spacing w:line="276" w:lineRule="auto"/>
              <w:jc w:val="both"/>
            </w:pPr>
            <w:r>
              <w:rPr>
                <w:sz w:val="19"/>
                <w:szCs w:val="19"/>
              </w:rPr>
              <w:lastRenderedPageBreak/>
              <w:t>TP05: Home is safe</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1A0A9103" w14:textId="77777777" w:rsidR="00B27F42" w:rsidRDefault="00B27F42" w:rsidP="001D4FAB">
            <w:pPr>
              <w:spacing w:line="276" w:lineRule="auto"/>
              <w:jc w:val="both"/>
            </w:pPr>
            <w:r>
              <w:rPr>
                <w:b/>
                <w:bCs/>
                <w:sz w:val="19"/>
                <w:szCs w:val="19"/>
              </w:rPr>
              <w:t>61.5%</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2269D2D2" w14:textId="77777777" w:rsidR="00B27F42" w:rsidRDefault="00B27F42" w:rsidP="001D4FAB">
            <w:pPr>
              <w:spacing w:line="276" w:lineRule="auto"/>
              <w:jc w:val="both"/>
            </w:pPr>
            <w:r>
              <w:rPr>
                <w:sz w:val="19"/>
                <w:szCs w:val="19"/>
              </w:rPr>
              <w:t>78.3%</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50C974A4" w14:textId="77777777" w:rsidR="00B27F42" w:rsidRDefault="00B27F42" w:rsidP="001D4FAB">
            <w:pPr>
              <w:spacing w:line="276" w:lineRule="auto"/>
              <w:jc w:val="both"/>
            </w:pPr>
            <w:r>
              <w:rPr>
                <w:sz w:val="19"/>
                <w:szCs w:val="19"/>
              </w:rPr>
              <w:t>68.6%</w:t>
            </w:r>
          </w:p>
        </w:tc>
      </w:tr>
      <w:tr w:rsidR="00B27F42" w14:paraId="67CB8611" w14:textId="77777777" w:rsidTr="00016B87">
        <w:tc>
          <w:tcPr>
            <w:tcW w:w="3626"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3B0F8368" w14:textId="77777777" w:rsidR="00B27F42" w:rsidRDefault="00B27F42" w:rsidP="001D4FAB">
            <w:pPr>
              <w:spacing w:line="276" w:lineRule="auto"/>
              <w:jc w:val="both"/>
            </w:pPr>
            <w:r>
              <w:rPr>
                <w:sz w:val="19"/>
                <w:szCs w:val="19"/>
              </w:rPr>
              <w:t>TP06: Landlord listens to views and acts on them</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5D30F563" w14:textId="77777777" w:rsidR="00B27F42" w:rsidRDefault="00B27F42" w:rsidP="001D4FAB">
            <w:pPr>
              <w:spacing w:line="276" w:lineRule="auto"/>
              <w:jc w:val="both"/>
            </w:pPr>
            <w:r>
              <w:rPr>
                <w:b/>
                <w:bCs/>
                <w:sz w:val="19"/>
                <w:szCs w:val="19"/>
              </w:rPr>
              <w:t>45.6%</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3A42B12E" w14:textId="77777777" w:rsidR="00B27F42" w:rsidRDefault="00B27F42" w:rsidP="001D4FAB">
            <w:pPr>
              <w:spacing w:line="276" w:lineRule="auto"/>
              <w:jc w:val="both"/>
            </w:pPr>
            <w:r>
              <w:rPr>
                <w:sz w:val="19"/>
                <w:szCs w:val="19"/>
              </w:rPr>
              <w:t>62.3%</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2B93FFDD" w14:textId="77777777" w:rsidR="00B27F42" w:rsidRDefault="00B27F42" w:rsidP="001D4FAB">
            <w:pPr>
              <w:spacing w:line="276" w:lineRule="auto"/>
              <w:jc w:val="both"/>
            </w:pPr>
            <w:r>
              <w:rPr>
                <w:sz w:val="19"/>
                <w:szCs w:val="19"/>
              </w:rPr>
              <w:t>52.7%</w:t>
            </w:r>
          </w:p>
        </w:tc>
      </w:tr>
      <w:tr w:rsidR="00B27F42" w14:paraId="124980CB" w14:textId="77777777" w:rsidTr="00016B87">
        <w:tc>
          <w:tcPr>
            <w:tcW w:w="3626"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05E330A4" w14:textId="77777777" w:rsidR="00B27F42" w:rsidRDefault="00B27F42" w:rsidP="001D4FAB">
            <w:pPr>
              <w:spacing w:line="276" w:lineRule="auto"/>
              <w:jc w:val="both"/>
            </w:pPr>
            <w:r>
              <w:rPr>
                <w:sz w:val="19"/>
                <w:szCs w:val="19"/>
              </w:rPr>
              <w:t>TP07: Landlord keeps tenants informed</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77CDBDB8" w14:textId="77777777" w:rsidR="00B27F42" w:rsidRDefault="00B27F42" w:rsidP="001D4FAB">
            <w:pPr>
              <w:spacing w:line="276" w:lineRule="auto"/>
              <w:jc w:val="both"/>
            </w:pPr>
            <w:r>
              <w:rPr>
                <w:b/>
                <w:bCs/>
                <w:sz w:val="19"/>
                <w:szCs w:val="19"/>
              </w:rPr>
              <w:t>61.5%</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2AF43A40" w14:textId="77777777" w:rsidR="00B27F42" w:rsidRDefault="00B27F42" w:rsidP="001D4FAB">
            <w:pPr>
              <w:spacing w:line="276" w:lineRule="auto"/>
              <w:jc w:val="both"/>
            </w:pPr>
            <w:r>
              <w:rPr>
                <w:sz w:val="19"/>
                <w:szCs w:val="19"/>
              </w:rPr>
              <w:t>72.5%</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766B6D35" w14:textId="77777777" w:rsidR="00B27F42" w:rsidRDefault="00B27F42" w:rsidP="001D4FAB">
            <w:pPr>
              <w:spacing w:line="276" w:lineRule="auto"/>
              <w:jc w:val="both"/>
            </w:pPr>
            <w:r>
              <w:rPr>
                <w:sz w:val="19"/>
                <w:szCs w:val="19"/>
              </w:rPr>
              <w:t>72.5%</w:t>
            </w:r>
          </w:p>
        </w:tc>
      </w:tr>
      <w:tr w:rsidR="00B27F42" w14:paraId="2F5F12AB" w14:textId="77777777" w:rsidTr="00016B87">
        <w:tc>
          <w:tcPr>
            <w:tcW w:w="3626"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28DEAD03" w14:textId="77777777" w:rsidR="00B27F42" w:rsidRDefault="00B27F42" w:rsidP="001D4FAB">
            <w:pPr>
              <w:spacing w:line="276" w:lineRule="auto"/>
              <w:jc w:val="both"/>
            </w:pPr>
            <w:r>
              <w:rPr>
                <w:sz w:val="19"/>
                <w:szCs w:val="19"/>
              </w:rPr>
              <w:t>TP08: Treated fairly and with respect</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01A00796" w14:textId="77777777" w:rsidR="00B27F42" w:rsidRDefault="00B27F42" w:rsidP="001D4FAB">
            <w:pPr>
              <w:spacing w:line="276" w:lineRule="auto"/>
              <w:jc w:val="both"/>
            </w:pPr>
            <w:r>
              <w:rPr>
                <w:b/>
                <w:bCs/>
                <w:sz w:val="19"/>
                <w:szCs w:val="19"/>
              </w:rPr>
              <w:t>62.8%</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734FC182" w14:textId="77777777" w:rsidR="00B27F42" w:rsidRDefault="00B27F42" w:rsidP="001D4FAB">
            <w:pPr>
              <w:spacing w:line="276" w:lineRule="auto"/>
              <w:jc w:val="both"/>
            </w:pPr>
            <w:r>
              <w:rPr>
                <w:sz w:val="19"/>
                <w:szCs w:val="19"/>
              </w:rPr>
              <w:t>78.3%</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55BF8506" w14:textId="77777777" w:rsidR="00B27F42" w:rsidRDefault="00B27F42" w:rsidP="001D4FAB">
            <w:pPr>
              <w:spacing w:line="276" w:lineRule="auto"/>
              <w:jc w:val="both"/>
            </w:pPr>
            <w:r>
              <w:rPr>
                <w:sz w:val="19"/>
                <w:szCs w:val="19"/>
              </w:rPr>
              <w:t>71.7%</w:t>
            </w:r>
          </w:p>
        </w:tc>
      </w:tr>
      <w:tr w:rsidR="00B27F42" w14:paraId="06576C57" w14:textId="77777777" w:rsidTr="00016B87">
        <w:tc>
          <w:tcPr>
            <w:tcW w:w="3626"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6D5BFBA4" w14:textId="77777777" w:rsidR="00B27F42" w:rsidRDefault="00B27F42" w:rsidP="001D4FAB">
            <w:pPr>
              <w:spacing w:line="276" w:lineRule="auto"/>
              <w:jc w:val="both"/>
            </w:pPr>
            <w:r>
              <w:rPr>
                <w:sz w:val="19"/>
                <w:szCs w:val="19"/>
              </w:rPr>
              <w:t>TP09: Approach to handling complaints</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7CD1B464" w14:textId="77777777" w:rsidR="00B27F42" w:rsidRDefault="00B27F42" w:rsidP="001D4FAB">
            <w:pPr>
              <w:spacing w:line="276" w:lineRule="auto"/>
              <w:jc w:val="both"/>
            </w:pPr>
            <w:r>
              <w:rPr>
                <w:b/>
                <w:bCs/>
                <w:sz w:val="19"/>
                <w:szCs w:val="19"/>
              </w:rPr>
              <w:t>21.7%</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14025D3D" w14:textId="77777777" w:rsidR="00B27F42" w:rsidRDefault="00B27F42" w:rsidP="001D4FAB">
            <w:pPr>
              <w:spacing w:line="276" w:lineRule="auto"/>
              <w:jc w:val="both"/>
            </w:pPr>
            <w:r>
              <w:rPr>
                <w:sz w:val="19"/>
                <w:szCs w:val="19"/>
              </w:rPr>
              <w:t>35.9%</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39BF98D8" w14:textId="77777777" w:rsidR="00B27F42" w:rsidRDefault="00B27F42" w:rsidP="001D4FAB">
            <w:pPr>
              <w:spacing w:line="276" w:lineRule="auto"/>
              <w:jc w:val="both"/>
            </w:pPr>
            <w:r>
              <w:rPr>
                <w:sz w:val="19"/>
                <w:szCs w:val="19"/>
              </w:rPr>
              <w:t>26.2%</w:t>
            </w:r>
          </w:p>
        </w:tc>
      </w:tr>
      <w:tr w:rsidR="00B27F42" w14:paraId="5A4F1819" w14:textId="77777777" w:rsidTr="00016B87">
        <w:tc>
          <w:tcPr>
            <w:tcW w:w="3626"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62E3FF39" w14:textId="77777777" w:rsidR="00B27F42" w:rsidRDefault="00B27F42" w:rsidP="001D4FAB">
            <w:pPr>
              <w:spacing w:line="276" w:lineRule="auto"/>
              <w:jc w:val="both"/>
            </w:pPr>
            <w:r>
              <w:rPr>
                <w:sz w:val="19"/>
                <w:szCs w:val="19"/>
              </w:rPr>
              <w:t>TP10: Communal areas clean and well maintained</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5FC321B2" w14:textId="77777777" w:rsidR="00B27F42" w:rsidRDefault="00B27F42" w:rsidP="001D4FAB">
            <w:pPr>
              <w:spacing w:line="276" w:lineRule="auto"/>
              <w:jc w:val="both"/>
            </w:pPr>
            <w:r>
              <w:rPr>
                <w:b/>
                <w:bCs/>
                <w:sz w:val="19"/>
                <w:szCs w:val="19"/>
              </w:rPr>
              <w:t>54.8%</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5BF08A65" w14:textId="77777777" w:rsidR="00B27F42" w:rsidRDefault="00B27F42" w:rsidP="001D4FAB">
            <w:pPr>
              <w:spacing w:line="276" w:lineRule="auto"/>
              <w:jc w:val="both"/>
            </w:pPr>
            <w:r>
              <w:rPr>
                <w:sz w:val="19"/>
                <w:szCs w:val="19"/>
              </w:rPr>
              <w:t>66.9%</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35FA31A3" w14:textId="77777777" w:rsidR="00B27F42" w:rsidRDefault="00B27F42" w:rsidP="001D4FAB">
            <w:pPr>
              <w:spacing w:line="276" w:lineRule="auto"/>
              <w:jc w:val="both"/>
            </w:pPr>
            <w:r>
              <w:rPr>
                <w:sz w:val="19"/>
                <w:szCs w:val="19"/>
              </w:rPr>
              <w:t>62.5%</w:t>
            </w:r>
          </w:p>
        </w:tc>
      </w:tr>
      <w:tr w:rsidR="00B27F42" w14:paraId="0061EAEB" w14:textId="77777777" w:rsidTr="00016B87">
        <w:tc>
          <w:tcPr>
            <w:tcW w:w="3626"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275C67C7" w14:textId="77777777" w:rsidR="00B27F42" w:rsidRDefault="00B27F42" w:rsidP="001D4FAB">
            <w:pPr>
              <w:spacing w:line="276" w:lineRule="auto"/>
              <w:jc w:val="both"/>
            </w:pPr>
            <w:r>
              <w:rPr>
                <w:sz w:val="19"/>
                <w:szCs w:val="19"/>
              </w:rPr>
              <w:t>TP11: Positive contribution to neighbourhoods</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1F05F7F7" w14:textId="77777777" w:rsidR="00B27F42" w:rsidRDefault="00B27F42" w:rsidP="001D4FAB">
            <w:pPr>
              <w:spacing w:line="276" w:lineRule="auto"/>
              <w:jc w:val="both"/>
            </w:pPr>
            <w:r>
              <w:rPr>
                <w:b/>
                <w:bCs/>
                <w:sz w:val="19"/>
                <w:szCs w:val="19"/>
              </w:rPr>
              <w:t>54.7%</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43067AD3" w14:textId="77777777" w:rsidR="00B27F42" w:rsidRDefault="00B27F42" w:rsidP="001D4FAB">
            <w:pPr>
              <w:spacing w:line="276" w:lineRule="auto"/>
              <w:jc w:val="both"/>
            </w:pPr>
            <w:r>
              <w:rPr>
                <w:sz w:val="19"/>
                <w:szCs w:val="19"/>
              </w:rPr>
              <w:t>64.9%</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6AA2BE0D" w14:textId="77777777" w:rsidR="00B27F42" w:rsidRDefault="00B27F42" w:rsidP="001D4FAB">
            <w:pPr>
              <w:spacing w:line="276" w:lineRule="auto"/>
              <w:jc w:val="both"/>
            </w:pPr>
            <w:r>
              <w:rPr>
                <w:sz w:val="19"/>
                <w:szCs w:val="19"/>
              </w:rPr>
              <w:t>67.2%</w:t>
            </w:r>
          </w:p>
        </w:tc>
      </w:tr>
      <w:tr w:rsidR="00B27F42" w14:paraId="5B0FFFEB" w14:textId="77777777" w:rsidTr="00016B87">
        <w:tc>
          <w:tcPr>
            <w:tcW w:w="3626"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477DE5F4" w14:textId="77777777" w:rsidR="00B27F42" w:rsidRDefault="00B27F42" w:rsidP="001D4FAB">
            <w:pPr>
              <w:spacing w:line="276" w:lineRule="auto"/>
              <w:jc w:val="both"/>
            </w:pPr>
            <w:r>
              <w:rPr>
                <w:sz w:val="19"/>
                <w:szCs w:val="19"/>
              </w:rPr>
              <w:t>TP12: Approach to handling anti-social behaviour</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43EB9E67" w14:textId="77777777" w:rsidR="00B27F42" w:rsidRDefault="00B27F42" w:rsidP="001D4FAB">
            <w:pPr>
              <w:spacing w:line="276" w:lineRule="auto"/>
              <w:jc w:val="both"/>
            </w:pPr>
            <w:r>
              <w:rPr>
                <w:b/>
                <w:bCs/>
                <w:sz w:val="19"/>
                <w:szCs w:val="19"/>
              </w:rPr>
              <w:t>49.8%</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4128B8B3" w14:textId="77777777" w:rsidR="00B27F42" w:rsidRDefault="00B27F42" w:rsidP="001D4FAB">
            <w:pPr>
              <w:spacing w:line="276" w:lineRule="auto"/>
              <w:jc w:val="both"/>
            </w:pPr>
            <w:r>
              <w:rPr>
                <w:sz w:val="19"/>
                <w:szCs w:val="19"/>
              </w:rPr>
              <w:t>60.1%</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5242785A" w14:textId="77777777" w:rsidR="00B27F42" w:rsidRDefault="00B27F42" w:rsidP="001D4FAB">
            <w:pPr>
              <w:spacing w:line="276" w:lineRule="auto"/>
              <w:jc w:val="both"/>
            </w:pPr>
            <w:r>
              <w:rPr>
                <w:sz w:val="19"/>
                <w:szCs w:val="19"/>
              </w:rPr>
              <w:t>59.3%</w:t>
            </w:r>
          </w:p>
        </w:tc>
      </w:tr>
    </w:tbl>
    <w:p w14:paraId="7AC9A43A" w14:textId="77777777" w:rsidR="00581B10" w:rsidRDefault="00581B10" w:rsidP="001D4FAB">
      <w:pPr>
        <w:spacing w:line="276" w:lineRule="auto"/>
        <w:jc w:val="both"/>
        <w:rPr>
          <w:b/>
          <w:bCs/>
        </w:rPr>
      </w:pPr>
    </w:p>
    <w:p w14:paraId="7F8F1427" w14:textId="2A3940C2" w:rsidR="0E464F56" w:rsidRDefault="6457A605" w:rsidP="4FF54609">
      <w:pPr>
        <w:spacing w:line="276" w:lineRule="auto"/>
        <w:jc w:val="both"/>
      </w:pPr>
      <w:r>
        <w:t>Whilst we recognise that our scores are below the medians,</w:t>
      </w:r>
      <w:r w:rsidR="3A9799FB">
        <w:t xml:space="preserve"> this</w:t>
      </w:r>
      <w:r>
        <w:t xml:space="preserve"> improve</w:t>
      </w:r>
      <w:r w:rsidR="0F6F21A0">
        <w:t xml:space="preserve">d position </w:t>
      </w:r>
      <w:proofErr w:type="gramStart"/>
      <w:r w:rsidR="0F6F21A0">
        <w:t>is  a</w:t>
      </w:r>
      <w:proofErr w:type="gramEnd"/>
      <w:r w:rsidR="0F6F21A0">
        <w:t xml:space="preserve"> move in the </w:t>
      </w:r>
      <w:proofErr w:type="gramStart"/>
      <w:r w:rsidR="0F6F21A0">
        <w:t>direction</w:t>
      </w:r>
      <w:proofErr w:type="gramEnd"/>
      <w:r w:rsidR="0F6F21A0">
        <w:t xml:space="preserve"> and we will form the basis for further work that needs to be done</w:t>
      </w:r>
      <w:r w:rsidR="1CABA3FD">
        <w:t xml:space="preserve"> </w:t>
      </w:r>
      <w:r w:rsidR="5D405B87">
        <w:t>to ensure the residents experience continues to improve.</w:t>
      </w:r>
    </w:p>
    <w:p w14:paraId="24AE3B76" w14:textId="77777777" w:rsidR="00581B10" w:rsidRPr="00C13BA6" w:rsidRDefault="00581B10" w:rsidP="001D4FAB">
      <w:pPr>
        <w:spacing w:line="276" w:lineRule="auto"/>
        <w:jc w:val="both"/>
        <w:rPr>
          <w:b/>
          <w:bCs/>
        </w:rPr>
      </w:pPr>
      <w:r w:rsidRPr="00C13BA6">
        <w:rPr>
          <w:b/>
          <w:bCs/>
        </w:rPr>
        <w:t>Appendices</w:t>
      </w:r>
    </w:p>
    <w:p w14:paraId="2A950D17" w14:textId="0B4E2FE1" w:rsidR="00B33845" w:rsidRDefault="00581B10" w:rsidP="001D4FAB">
      <w:pPr>
        <w:spacing w:line="276" w:lineRule="auto"/>
        <w:jc w:val="both"/>
        <w:rPr>
          <w:u w:val="single"/>
        </w:rPr>
      </w:pPr>
      <w:r w:rsidRPr="00C13BA6">
        <w:rPr>
          <w:b/>
          <w:bCs/>
        </w:rPr>
        <w:t xml:space="preserve">View </w:t>
      </w:r>
      <w:hyperlink r:id="rId9" w:history="1">
        <w:r w:rsidRPr="00212A50">
          <w:rPr>
            <w:rStyle w:val="Hyperlink"/>
          </w:rPr>
          <w:t>TSM appendices: survey approach</w:t>
        </w:r>
        <w:r w:rsidR="00D97255" w:rsidRPr="00212A50">
          <w:rPr>
            <w:rStyle w:val="Hyperlink"/>
          </w:rPr>
          <w:t xml:space="preserve"> and</w:t>
        </w:r>
        <w:r w:rsidRPr="00212A50">
          <w:rPr>
            <w:rStyle w:val="Hyperlink"/>
          </w:rPr>
          <w:t xml:space="preserve"> survey questions</w:t>
        </w:r>
      </w:hyperlink>
    </w:p>
    <w:p w14:paraId="1EF6DB7C" w14:textId="77777777" w:rsidR="00B33845" w:rsidRDefault="00B33845" w:rsidP="001D4FAB">
      <w:pPr>
        <w:pStyle w:val="Heading1"/>
        <w:spacing w:line="276" w:lineRule="auto"/>
        <w:jc w:val="both"/>
      </w:pPr>
      <w:r>
        <w:t>Management information measures</w:t>
      </w:r>
    </w:p>
    <w:p w14:paraId="7F4EE4B5" w14:textId="77777777" w:rsidR="00B33845" w:rsidRDefault="00B33845" w:rsidP="001D4FAB">
      <w:pPr>
        <w:spacing w:line="276" w:lineRule="auto"/>
        <w:jc w:val="both"/>
      </w:pPr>
      <w:r>
        <w:t>These 10 measures are based on the Council’s own data, audited by Housemark, and are shown for the last three years so trends are clear.</w:t>
      </w:r>
    </w:p>
    <w:p w14:paraId="10A8EA98" w14:textId="77777777" w:rsidR="00B33845" w:rsidRDefault="00B33845" w:rsidP="001D4FAB">
      <w:pPr>
        <w:pStyle w:val="Heading2"/>
        <w:spacing w:line="276" w:lineRule="auto"/>
        <w:jc w:val="both"/>
      </w:pPr>
      <w:r>
        <w:t>Complaints</w:t>
      </w:r>
    </w:p>
    <w:p w14:paraId="3B3C7FFE" w14:textId="77777777" w:rsidR="00B33845" w:rsidRDefault="00B33845" w:rsidP="001D4FAB">
      <w:pPr>
        <w:spacing w:after="120" w:line="276" w:lineRule="auto"/>
        <w:jc w:val="both"/>
      </w:pPr>
      <w:r>
        <w:rPr>
          <w:sz w:val="20"/>
          <w:szCs w:val="20"/>
        </w:rPr>
        <w:t>Figures are complaints received per 1,000 homes, and the proportion responded to within the Housing Ombudsman’s Complaint Handling Code timescales.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26"/>
        <w:gridCol w:w="1800"/>
        <w:gridCol w:w="1800"/>
        <w:gridCol w:w="1800"/>
      </w:tblGrid>
      <w:tr w:rsidR="00B33845" w14:paraId="047D9DC2" w14:textId="77777777" w:rsidTr="00016B87">
        <w:trPr>
          <w:tblHeader/>
        </w:trPr>
        <w:tc>
          <w:tcPr>
            <w:tcW w:w="3626"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1B0704A6" w14:textId="77777777" w:rsidR="00B33845" w:rsidRDefault="00B33845" w:rsidP="001D4FAB">
            <w:pPr>
              <w:spacing w:line="276" w:lineRule="auto"/>
              <w:jc w:val="both"/>
            </w:pPr>
            <w:r>
              <w:rPr>
                <w:b/>
                <w:bCs/>
                <w:color w:val="3A1539"/>
                <w:sz w:val="19"/>
                <w:szCs w:val="19"/>
              </w:rPr>
              <w:t>Measure</w:t>
            </w:r>
          </w:p>
        </w:tc>
        <w:tc>
          <w:tcPr>
            <w:tcW w:w="1800"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774A11D1" w14:textId="77777777" w:rsidR="00B33845" w:rsidRDefault="00B33845" w:rsidP="001D4FAB">
            <w:pPr>
              <w:spacing w:line="276" w:lineRule="auto"/>
              <w:jc w:val="both"/>
            </w:pPr>
            <w:r>
              <w:rPr>
                <w:b/>
                <w:bCs/>
                <w:color w:val="3A1539"/>
                <w:sz w:val="19"/>
                <w:szCs w:val="19"/>
              </w:rPr>
              <w:t>Brent 2025/26</w:t>
            </w:r>
          </w:p>
        </w:tc>
        <w:tc>
          <w:tcPr>
            <w:tcW w:w="1800"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6F9A83FF" w14:textId="77777777" w:rsidR="00B33845" w:rsidRDefault="00B33845" w:rsidP="001D4FAB">
            <w:pPr>
              <w:spacing w:line="276" w:lineRule="auto"/>
              <w:jc w:val="both"/>
            </w:pPr>
            <w:r>
              <w:rPr>
                <w:b/>
                <w:bCs/>
                <w:color w:val="3A1539"/>
                <w:sz w:val="19"/>
                <w:szCs w:val="19"/>
              </w:rPr>
              <w:t>Brent 2024/25</w:t>
            </w:r>
          </w:p>
        </w:tc>
        <w:tc>
          <w:tcPr>
            <w:tcW w:w="1800"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15C6BE42" w14:textId="77777777" w:rsidR="00B33845" w:rsidRDefault="00B33845" w:rsidP="001D4FAB">
            <w:pPr>
              <w:spacing w:line="276" w:lineRule="auto"/>
              <w:jc w:val="both"/>
            </w:pPr>
            <w:r>
              <w:rPr>
                <w:b/>
                <w:bCs/>
                <w:color w:val="3A1539"/>
                <w:sz w:val="19"/>
                <w:szCs w:val="19"/>
              </w:rPr>
              <w:t>Brent 2023/24</w:t>
            </w:r>
          </w:p>
        </w:tc>
      </w:tr>
      <w:tr w:rsidR="00B33845" w14:paraId="5FB8F505" w14:textId="77777777" w:rsidTr="00016B87">
        <w:tc>
          <w:tcPr>
            <w:tcW w:w="3626"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6219BC4B" w14:textId="77777777" w:rsidR="00B33845" w:rsidRDefault="00B33845" w:rsidP="001D4FAB">
            <w:pPr>
              <w:spacing w:line="276" w:lineRule="auto"/>
              <w:jc w:val="both"/>
            </w:pPr>
            <w:r>
              <w:rPr>
                <w:sz w:val="19"/>
                <w:szCs w:val="19"/>
              </w:rPr>
              <w:t>Stage 1 complaints received per 1,000 homes</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10597885" w14:textId="77777777" w:rsidR="00B33845" w:rsidRDefault="00B33845" w:rsidP="001D4FAB">
            <w:pPr>
              <w:spacing w:line="276" w:lineRule="auto"/>
              <w:jc w:val="both"/>
            </w:pPr>
            <w:r>
              <w:rPr>
                <w:b/>
                <w:bCs/>
                <w:sz w:val="19"/>
                <w:szCs w:val="19"/>
              </w:rPr>
              <w:t>93.4</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53712FAD" w14:textId="77777777" w:rsidR="00B33845" w:rsidRDefault="00B33845" w:rsidP="001D4FAB">
            <w:pPr>
              <w:spacing w:line="276" w:lineRule="auto"/>
              <w:jc w:val="both"/>
            </w:pPr>
            <w:r>
              <w:rPr>
                <w:sz w:val="19"/>
                <w:szCs w:val="19"/>
              </w:rPr>
              <w:t>62.2</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383EE3E1" w14:textId="77777777" w:rsidR="00B33845" w:rsidRDefault="00B33845" w:rsidP="001D4FAB">
            <w:pPr>
              <w:spacing w:line="276" w:lineRule="auto"/>
              <w:jc w:val="both"/>
            </w:pPr>
            <w:r>
              <w:rPr>
                <w:sz w:val="19"/>
                <w:szCs w:val="19"/>
              </w:rPr>
              <w:t>36.0</w:t>
            </w:r>
          </w:p>
        </w:tc>
      </w:tr>
      <w:tr w:rsidR="00B33845" w14:paraId="764E3F4F" w14:textId="77777777" w:rsidTr="00016B87">
        <w:tc>
          <w:tcPr>
            <w:tcW w:w="3626"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559CA931" w14:textId="77777777" w:rsidR="00B33845" w:rsidRDefault="00B33845" w:rsidP="001D4FAB">
            <w:pPr>
              <w:spacing w:line="276" w:lineRule="auto"/>
              <w:jc w:val="both"/>
            </w:pPr>
            <w:r>
              <w:rPr>
                <w:sz w:val="19"/>
                <w:szCs w:val="19"/>
              </w:rPr>
              <w:lastRenderedPageBreak/>
              <w:t>Stage 2 complaints received per 1,000 homes</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7613979C" w14:textId="77777777" w:rsidR="00B33845" w:rsidRDefault="00B33845" w:rsidP="001D4FAB">
            <w:pPr>
              <w:spacing w:line="276" w:lineRule="auto"/>
              <w:jc w:val="both"/>
            </w:pPr>
            <w:r>
              <w:rPr>
                <w:b/>
                <w:bCs/>
                <w:sz w:val="19"/>
                <w:szCs w:val="19"/>
              </w:rPr>
              <w:t>17.5</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68AC4191" w14:textId="77777777" w:rsidR="00B33845" w:rsidRDefault="00B33845" w:rsidP="001D4FAB">
            <w:pPr>
              <w:spacing w:line="276" w:lineRule="auto"/>
              <w:jc w:val="both"/>
            </w:pPr>
            <w:r>
              <w:rPr>
                <w:sz w:val="19"/>
                <w:szCs w:val="19"/>
              </w:rPr>
              <w:t>10.9</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335C484B" w14:textId="77777777" w:rsidR="00B33845" w:rsidRDefault="00B33845" w:rsidP="001D4FAB">
            <w:pPr>
              <w:spacing w:line="276" w:lineRule="auto"/>
              <w:jc w:val="both"/>
            </w:pPr>
            <w:r>
              <w:rPr>
                <w:sz w:val="19"/>
                <w:szCs w:val="19"/>
              </w:rPr>
              <w:t>6.0</w:t>
            </w:r>
          </w:p>
        </w:tc>
      </w:tr>
      <w:tr w:rsidR="00B33845" w14:paraId="2D939D4C" w14:textId="77777777" w:rsidTr="00016B87">
        <w:tc>
          <w:tcPr>
            <w:tcW w:w="3626"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32DFA047" w14:textId="77777777" w:rsidR="00B33845" w:rsidRDefault="00B33845" w:rsidP="001D4FAB">
            <w:pPr>
              <w:spacing w:line="276" w:lineRule="auto"/>
              <w:jc w:val="both"/>
            </w:pPr>
            <w:r>
              <w:rPr>
                <w:sz w:val="19"/>
                <w:szCs w:val="19"/>
              </w:rPr>
              <w:t>Stage 1 responded to in timescale (10 working days)</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481490E5" w14:textId="77777777" w:rsidR="00B33845" w:rsidRDefault="00B33845" w:rsidP="001D4FAB">
            <w:pPr>
              <w:spacing w:line="276" w:lineRule="auto"/>
              <w:jc w:val="both"/>
            </w:pPr>
            <w:r>
              <w:rPr>
                <w:b/>
                <w:bCs/>
                <w:sz w:val="19"/>
                <w:szCs w:val="19"/>
              </w:rPr>
              <w:t>84.4%</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58077782" w14:textId="77777777" w:rsidR="00B33845" w:rsidRDefault="00B33845" w:rsidP="001D4FAB">
            <w:pPr>
              <w:spacing w:line="276" w:lineRule="auto"/>
              <w:jc w:val="both"/>
            </w:pPr>
            <w:r>
              <w:rPr>
                <w:sz w:val="19"/>
                <w:szCs w:val="19"/>
              </w:rPr>
              <w:t>81.8%</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318099A8" w14:textId="77777777" w:rsidR="00B33845" w:rsidRDefault="00B33845" w:rsidP="001D4FAB">
            <w:pPr>
              <w:spacing w:line="276" w:lineRule="auto"/>
              <w:jc w:val="both"/>
            </w:pPr>
            <w:r>
              <w:rPr>
                <w:sz w:val="19"/>
                <w:szCs w:val="19"/>
              </w:rPr>
              <w:t>99.3%</w:t>
            </w:r>
          </w:p>
        </w:tc>
      </w:tr>
      <w:tr w:rsidR="00B33845" w14:paraId="65A6DD8C" w14:textId="77777777" w:rsidTr="00016B87">
        <w:tc>
          <w:tcPr>
            <w:tcW w:w="3626"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1306293B" w14:textId="77777777" w:rsidR="00B33845" w:rsidRDefault="00B33845" w:rsidP="001D4FAB">
            <w:pPr>
              <w:spacing w:line="276" w:lineRule="auto"/>
              <w:jc w:val="both"/>
            </w:pPr>
            <w:r>
              <w:rPr>
                <w:sz w:val="19"/>
                <w:szCs w:val="19"/>
              </w:rPr>
              <w:t>Stage 2 responded to in timescale (20 working days)</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6E686DE2" w14:textId="77777777" w:rsidR="00B33845" w:rsidRDefault="00B33845" w:rsidP="001D4FAB">
            <w:pPr>
              <w:spacing w:line="276" w:lineRule="auto"/>
              <w:jc w:val="both"/>
            </w:pPr>
            <w:r>
              <w:rPr>
                <w:b/>
                <w:bCs/>
                <w:sz w:val="19"/>
                <w:szCs w:val="19"/>
              </w:rPr>
              <w:t>50.3%</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374C72CF" w14:textId="77777777" w:rsidR="00B33845" w:rsidRDefault="00B33845" w:rsidP="001D4FAB">
            <w:pPr>
              <w:spacing w:line="276" w:lineRule="auto"/>
              <w:jc w:val="both"/>
            </w:pPr>
            <w:r>
              <w:rPr>
                <w:sz w:val="19"/>
                <w:szCs w:val="19"/>
              </w:rPr>
              <w:t>98.9%</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0ADD44D9" w14:textId="77777777" w:rsidR="00B33845" w:rsidRDefault="00B33845" w:rsidP="001D4FAB">
            <w:pPr>
              <w:spacing w:line="276" w:lineRule="auto"/>
              <w:jc w:val="both"/>
            </w:pPr>
            <w:r>
              <w:rPr>
                <w:sz w:val="19"/>
                <w:szCs w:val="19"/>
              </w:rPr>
              <w:t>73.5%</w:t>
            </w:r>
          </w:p>
        </w:tc>
      </w:tr>
    </w:tbl>
    <w:p w14:paraId="601BED70" w14:textId="77777777" w:rsidR="00B33845" w:rsidRDefault="00B33845" w:rsidP="001D4FAB">
      <w:pPr>
        <w:spacing w:before="60" w:after="60" w:line="276" w:lineRule="auto"/>
        <w:jc w:val="both"/>
      </w:pPr>
    </w:p>
    <w:p w14:paraId="2A70D933" w14:textId="4F6B51DD" w:rsidR="00B33845" w:rsidRDefault="00B33845" w:rsidP="001D4FAB">
      <w:pPr>
        <w:spacing w:after="240" w:line="276" w:lineRule="auto"/>
        <w:jc w:val="both"/>
      </w:pPr>
      <w:r>
        <w:t xml:space="preserve">Complaint volumes have risen each year at both stages (Stage 1 from 36.0 to 93.4 per 1,000; Stage 2 from 6.0 to 17.5). </w:t>
      </w:r>
      <w:r w:rsidR="52940CE6">
        <w:t>The h</w:t>
      </w:r>
      <w:r w:rsidR="1BDBA441">
        <w:t>igher</w:t>
      </w:r>
      <w:r>
        <w:t xml:space="preserve"> volumes create pressure but also reflect a more accessible complaints process and greater resident awareness of the right to complain</w:t>
      </w:r>
      <w:r w:rsidR="7F568D32">
        <w:t xml:space="preserve"> which we have been prioritising over 2025/26</w:t>
      </w:r>
      <w:r w:rsidR="1BDBA441">
        <w:t>.</w:t>
      </w:r>
      <w:r>
        <w:t xml:space="preserve"> Stage 1 timeliness improved to 84.4% (from 81.8%), while Stage 2 timeliness fell to 50.3% as volumes and case complexity rose.</w:t>
      </w:r>
    </w:p>
    <w:p w14:paraId="46494880" w14:textId="423229C3" w:rsidR="00B33845" w:rsidRDefault="00B33845" w:rsidP="001D4FAB">
      <w:pPr>
        <w:pStyle w:val="Heading2"/>
        <w:spacing w:line="276" w:lineRule="auto"/>
        <w:jc w:val="both"/>
      </w:pPr>
      <w:r>
        <w:t xml:space="preserve">Neighbourhood management </w:t>
      </w:r>
      <w:r w:rsidR="001D4FAB">
        <w:t xml:space="preserve">- </w:t>
      </w:r>
      <w:r>
        <w:t>anti-social behaviour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26"/>
        <w:gridCol w:w="1800"/>
        <w:gridCol w:w="1800"/>
        <w:gridCol w:w="1800"/>
      </w:tblGrid>
      <w:tr w:rsidR="00B33845" w14:paraId="4E6F4598" w14:textId="77777777" w:rsidTr="00016B87">
        <w:trPr>
          <w:tblHeader/>
        </w:trPr>
        <w:tc>
          <w:tcPr>
            <w:tcW w:w="3626"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046F4194" w14:textId="77777777" w:rsidR="00B33845" w:rsidRDefault="00B33845" w:rsidP="001D4FAB">
            <w:pPr>
              <w:spacing w:line="276" w:lineRule="auto"/>
              <w:jc w:val="both"/>
            </w:pPr>
            <w:r>
              <w:rPr>
                <w:b/>
                <w:bCs/>
                <w:color w:val="3A1539"/>
                <w:sz w:val="19"/>
                <w:szCs w:val="19"/>
              </w:rPr>
              <w:t>Measure</w:t>
            </w:r>
          </w:p>
        </w:tc>
        <w:tc>
          <w:tcPr>
            <w:tcW w:w="1800"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3B336D88" w14:textId="77777777" w:rsidR="00B33845" w:rsidRDefault="00B33845" w:rsidP="001D4FAB">
            <w:pPr>
              <w:spacing w:line="276" w:lineRule="auto"/>
              <w:jc w:val="both"/>
            </w:pPr>
            <w:r>
              <w:rPr>
                <w:b/>
                <w:bCs/>
                <w:color w:val="3A1539"/>
                <w:sz w:val="19"/>
                <w:szCs w:val="19"/>
              </w:rPr>
              <w:t>Brent 2025/26</w:t>
            </w:r>
          </w:p>
        </w:tc>
        <w:tc>
          <w:tcPr>
            <w:tcW w:w="1800"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3EFDDF09" w14:textId="77777777" w:rsidR="00B33845" w:rsidRDefault="00B33845" w:rsidP="001D4FAB">
            <w:pPr>
              <w:spacing w:line="276" w:lineRule="auto"/>
              <w:jc w:val="both"/>
            </w:pPr>
            <w:r>
              <w:rPr>
                <w:b/>
                <w:bCs/>
                <w:color w:val="3A1539"/>
                <w:sz w:val="19"/>
                <w:szCs w:val="19"/>
              </w:rPr>
              <w:t>Brent 2024/25</w:t>
            </w:r>
          </w:p>
        </w:tc>
        <w:tc>
          <w:tcPr>
            <w:tcW w:w="1800"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2C6233F0" w14:textId="77777777" w:rsidR="00B33845" w:rsidRDefault="00B33845" w:rsidP="001D4FAB">
            <w:pPr>
              <w:spacing w:line="276" w:lineRule="auto"/>
              <w:jc w:val="both"/>
            </w:pPr>
            <w:r>
              <w:rPr>
                <w:b/>
                <w:bCs/>
                <w:color w:val="3A1539"/>
                <w:sz w:val="19"/>
                <w:szCs w:val="19"/>
              </w:rPr>
              <w:t>Brent 2023/24</w:t>
            </w:r>
          </w:p>
        </w:tc>
      </w:tr>
      <w:tr w:rsidR="00B33845" w14:paraId="48990C3E" w14:textId="77777777" w:rsidTr="00016B87">
        <w:tc>
          <w:tcPr>
            <w:tcW w:w="3626"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1DCDB608" w14:textId="77777777" w:rsidR="00B33845" w:rsidRDefault="00B33845" w:rsidP="001D4FAB">
            <w:pPr>
              <w:spacing w:line="276" w:lineRule="auto"/>
              <w:jc w:val="both"/>
            </w:pPr>
            <w:r>
              <w:rPr>
                <w:sz w:val="19"/>
                <w:szCs w:val="19"/>
              </w:rPr>
              <w:t>ASB cases opened per 1,000 homes</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77CD1444" w14:textId="77777777" w:rsidR="00B33845" w:rsidRDefault="00B33845" w:rsidP="001D4FAB">
            <w:pPr>
              <w:spacing w:line="276" w:lineRule="auto"/>
              <w:jc w:val="both"/>
            </w:pPr>
            <w:r>
              <w:rPr>
                <w:b/>
                <w:bCs/>
                <w:sz w:val="19"/>
                <w:szCs w:val="19"/>
              </w:rPr>
              <w:t>13.5</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118F59DC" w14:textId="77777777" w:rsidR="00B33845" w:rsidRDefault="00B33845" w:rsidP="001D4FAB">
            <w:pPr>
              <w:spacing w:line="276" w:lineRule="auto"/>
              <w:jc w:val="both"/>
            </w:pPr>
            <w:r>
              <w:rPr>
                <w:sz w:val="19"/>
                <w:szCs w:val="19"/>
              </w:rPr>
              <w:t>10.8</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437708CA" w14:textId="77777777" w:rsidR="00B33845" w:rsidRDefault="00B33845" w:rsidP="001D4FAB">
            <w:pPr>
              <w:spacing w:line="276" w:lineRule="auto"/>
              <w:jc w:val="both"/>
            </w:pPr>
            <w:r>
              <w:rPr>
                <w:sz w:val="19"/>
                <w:szCs w:val="19"/>
              </w:rPr>
              <w:t>101.4</w:t>
            </w:r>
          </w:p>
        </w:tc>
      </w:tr>
      <w:tr w:rsidR="00B33845" w14:paraId="48D70381" w14:textId="77777777" w:rsidTr="00016B87">
        <w:tc>
          <w:tcPr>
            <w:tcW w:w="3626"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32777EB7" w14:textId="77777777" w:rsidR="00B33845" w:rsidRDefault="00B33845" w:rsidP="001D4FAB">
            <w:pPr>
              <w:spacing w:line="276" w:lineRule="auto"/>
              <w:jc w:val="both"/>
            </w:pPr>
            <w:r>
              <w:rPr>
                <w:sz w:val="19"/>
                <w:szCs w:val="19"/>
              </w:rPr>
              <w:t>Hate-related ASB cases opened per 1,000 homes</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2D45044E" w14:textId="77777777" w:rsidR="00B33845" w:rsidRDefault="00B33845" w:rsidP="001D4FAB">
            <w:pPr>
              <w:spacing w:line="276" w:lineRule="auto"/>
              <w:jc w:val="both"/>
            </w:pPr>
            <w:r>
              <w:rPr>
                <w:b/>
                <w:bCs/>
                <w:sz w:val="19"/>
                <w:szCs w:val="19"/>
              </w:rPr>
              <w:t>0.8</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4BC2E54C" w14:textId="77777777" w:rsidR="00B33845" w:rsidRDefault="00B33845" w:rsidP="001D4FAB">
            <w:pPr>
              <w:spacing w:line="276" w:lineRule="auto"/>
              <w:jc w:val="both"/>
            </w:pPr>
            <w:r>
              <w:rPr>
                <w:sz w:val="19"/>
                <w:szCs w:val="19"/>
              </w:rPr>
              <w:t>0.1</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0EE380F6" w14:textId="77777777" w:rsidR="00B33845" w:rsidRDefault="00B33845" w:rsidP="001D4FAB">
            <w:pPr>
              <w:spacing w:line="276" w:lineRule="auto"/>
              <w:jc w:val="both"/>
            </w:pPr>
            <w:r>
              <w:rPr>
                <w:sz w:val="19"/>
                <w:szCs w:val="19"/>
              </w:rPr>
              <w:t>0.4</w:t>
            </w:r>
          </w:p>
        </w:tc>
      </w:tr>
    </w:tbl>
    <w:p w14:paraId="6A529DED" w14:textId="6409FD8D" w:rsidR="00B33845" w:rsidRDefault="00B33845" w:rsidP="001D4FAB">
      <w:pPr>
        <w:spacing w:before="240" w:after="240" w:line="276" w:lineRule="auto"/>
        <w:jc w:val="both"/>
      </w:pPr>
      <w:r w:rsidRPr="00BC2DEA">
        <w:t xml:space="preserve">ASB cases opened per 1,000 homes (13.5) are broadly in line with 2024/25 (10.8). Hate-related cases remain a small number (0.8 per 1,000). </w:t>
      </w:r>
      <w:r>
        <w:t>We</w:t>
      </w:r>
      <w:r w:rsidR="6E22470F">
        <w:t xml:space="preserve"> recognise the need to ensure that</w:t>
      </w:r>
      <w:r w:rsidRPr="00BC2DEA">
        <w:t xml:space="preserve"> every hate-related case </w:t>
      </w:r>
      <w:r w:rsidR="70FEF4A0">
        <w:t>is treated</w:t>
      </w:r>
      <w:r>
        <w:t xml:space="preserve"> </w:t>
      </w:r>
      <w:proofErr w:type="gramStart"/>
      <w:r w:rsidRPr="00BC2DEA">
        <w:t>seriously</w:t>
      </w:r>
      <w:proofErr w:type="gramEnd"/>
      <w:r w:rsidRPr="00BC2DEA">
        <w:t xml:space="preserve"> and </w:t>
      </w:r>
      <w:r w:rsidR="2F94D76A">
        <w:t xml:space="preserve">we must </w:t>
      </w:r>
      <w:r w:rsidRPr="00BC2DEA">
        <w:t>continue to</w:t>
      </w:r>
      <w:r w:rsidR="00962646">
        <w:t xml:space="preserve"> work to</w:t>
      </w:r>
      <w:r w:rsidRPr="00BC2DEA">
        <w:t xml:space="preserve"> deliver safe, well-managed neighbourhoods.</w:t>
      </w:r>
    </w:p>
    <w:p w14:paraId="7E818BCC" w14:textId="77777777" w:rsidR="00B33845" w:rsidRDefault="00B33845" w:rsidP="001D4FAB">
      <w:pPr>
        <w:pStyle w:val="Heading2"/>
        <w:spacing w:line="276" w:lineRule="auto"/>
        <w:jc w:val="both"/>
      </w:pPr>
      <w:r>
        <w:t>Decent Homes Standard and responsive repairs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26"/>
        <w:gridCol w:w="1800"/>
        <w:gridCol w:w="1800"/>
        <w:gridCol w:w="1800"/>
      </w:tblGrid>
      <w:tr w:rsidR="00B33845" w14:paraId="1501B792" w14:textId="77777777" w:rsidTr="00016B87">
        <w:trPr>
          <w:tblHeader/>
        </w:trPr>
        <w:tc>
          <w:tcPr>
            <w:tcW w:w="3626"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4ADD173B" w14:textId="77777777" w:rsidR="00B33845" w:rsidRDefault="00B33845" w:rsidP="001D4FAB">
            <w:pPr>
              <w:spacing w:line="276" w:lineRule="auto"/>
              <w:jc w:val="both"/>
            </w:pPr>
            <w:r>
              <w:rPr>
                <w:b/>
                <w:bCs/>
                <w:color w:val="3A1539"/>
                <w:sz w:val="19"/>
                <w:szCs w:val="19"/>
              </w:rPr>
              <w:t>Measure</w:t>
            </w:r>
          </w:p>
        </w:tc>
        <w:tc>
          <w:tcPr>
            <w:tcW w:w="1800"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1ED111AB" w14:textId="77777777" w:rsidR="00B33845" w:rsidRDefault="00B33845" w:rsidP="001D4FAB">
            <w:pPr>
              <w:spacing w:line="276" w:lineRule="auto"/>
              <w:jc w:val="both"/>
            </w:pPr>
            <w:r>
              <w:rPr>
                <w:b/>
                <w:bCs/>
                <w:color w:val="3A1539"/>
                <w:sz w:val="19"/>
                <w:szCs w:val="19"/>
              </w:rPr>
              <w:t>Brent 2025/26</w:t>
            </w:r>
          </w:p>
        </w:tc>
        <w:tc>
          <w:tcPr>
            <w:tcW w:w="1800"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559FA1CA" w14:textId="77777777" w:rsidR="00B33845" w:rsidRDefault="00B33845" w:rsidP="001D4FAB">
            <w:pPr>
              <w:spacing w:line="276" w:lineRule="auto"/>
              <w:jc w:val="both"/>
            </w:pPr>
            <w:r>
              <w:rPr>
                <w:b/>
                <w:bCs/>
                <w:color w:val="3A1539"/>
                <w:sz w:val="19"/>
                <w:szCs w:val="19"/>
              </w:rPr>
              <w:t>Brent 2024/25</w:t>
            </w:r>
          </w:p>
        </w:tc>
        <w:tc>
          <w:tcPr>
            <w:tcW w:w="1800"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680EA5F6" w14:textId="77777777" w:rsidR="00B33845" w:rsidRDefault="00B33845" w:rsidP="001D4FAB">
            <w:pPr>
              <w:spacing w:line="276" w:lineRule="auto"/>
              <w:jc w:val="both"/>
            </w:pPr>
            <w:r>
              <w:rPr>
                <w:b/>
                <w:bCs/>
                <w:color w:val="3A1539"/>
                <w:sz w:val="19"/>
                <w:szCs w:val="19"/>
              </w:rPr>
              <w:t>Brent 2023/24</w:t>
            </w:r>
          </w:p>
        </w:tc>
      </w:tr>
      <w:tr w:rsidR="00B33845" w14:paraId="26E201AD" w14:textId="77777777" w:rsidTr="00016B87">
        <w:tc>
          <w:tcPr>
            <w:tcW w:w="3626"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7DEC1069" w14:textId="77777777" w:rsidR="00B33845" w:rsidRDefault="00B33845" w:rsidP="001D4FAB">
            <w:pPr>
              <w:spacing w:line="276" w:lineRule="auto"/>
              <w:jc w:val="both"/>
            </w:pPr>
            <w:r>
              <w:rPr>
                <w:sz w:val="19"/>
                <w:szCs w:val="19"/>
              </w:rPr>
              <w:t>Homes that do not meet the Decent Homes Standard</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643E8B12" w14:textId="77777777" w:rsidR="00B33845" w:rsidRDefault="00B33845" w:rsidP="001D4FAB">
            <w:pPr>
              <w:spacing w:line="276" w:lineRule="auto"/>
              <w:jc w:val="both"/>
            </w:pPr>
            <w:r>
              <w:rPr>
                <w:b/>
                <w:bCs/>
                <w:sz w:val="19"/>
                <w:szCs w:val="19"/>
              </w:rPr>
              <w:t>5.3%</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4E6A265A" w14:textId="77777777" w:rsidR="00B33845" w:rsidRDefault="00B33845" w:rsidP="001D4FAB">
            <w:pPr>
              <w:spacing w:line="276" w:lineRule="auto"/>
              <w:jc w:val="both"/>
            </w:pPr>
            <w:r>
              <w:rPr>
                <w:sz w:val="19"/>
                <w:szCs w:val="19"/>
              </w:rPr>
              <w:t>4.8%</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594E2B5A" w14:textId="77777777" w:rsidR="00B33845" w:rsidRDefault="00B33845" w:rsidP="001D4FAB">
            <w:pPr>
              <w:spacing w:line="276" w:lineRule="auto"/>
              <w:jc w:val="both"/>
            </w:pPr>
            <w:r>
              <w:rPr>
                <w:sz w:val="19"/>
                <w:szCs w:val="19"/>
              </w:rPr>
              <w:t>5.1%</w:t>
            </w:r>
          </w:p>
        </w:tc>
      </w:tr>
      <w:tr w:rsidR="00B33845" w14:paraId="49B137AF" w14:textId="77777777" w:rsidTr="00016B87">
        <w:tc>
          <w:tcPr>
            <w:tcW w:w="3626"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4767057E" w14:textId="77777777" w:rsidR="00B33845" w:rsidRDefault="00B33845" w:rsidP="001D4FAB">
            <w:pPr>
              <w:spacing w:line="276" w:lineRule="auto"/>
              <w:jc w:val="both"/>
            </w:pPr>
            <w:r>
              <w:rPr>
                <w:sz w:val="19"/>
                <w:szCs w:val="19"/>
              </w:rPr>
              <w:t>Non-emergency repairs completed within target</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564A7CBA" w14:textId="77777777" w:rsidR="00B33845" w:rsidRDefault="00B33845" w:rsidP="001D4FAB">
            <w:pPr>
              <w:spacing w:line="276" w:lineRule="auto"/>
              <w:jc w:val="both"/>
            </w:pPr>
            <w:r>
              <w:rPr>
                <w:b/>
                <w:bCs/>
                <w:sz w:val="19"/>
                <w:szCs w:val="19"/>
              </w:rPr>
              <w:t>83.2%</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029FD021" w14:textId="77777777" w:rsidR="00B33845" w:rsidRDefault="00B33845" w:rsidP="001D4FAB">
            <w:pPr>
              <w:spacing w:line="276" w:lineRule="auto"/>
              <w:jc w:val="both"/>
            </w:pPr>
            <w:r>
              <w:rPr>
                <w:sz w:val="19"/>
                <w:szCs w:val="19"/>
              </w:rPr>
              <w:t>77.9%</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48002C53" w14:textId="77777777" w:rsidR="00B33845" w:rsidRDefault="00B33845" w:rsidP="001D4FAB">
            <w:pPr>
              <w:spacing w:line="276" w:lineRule="auto"/>
              <w:jc w:val="both"/>
            </w:pPr>
            <w:r>
              <w:rPr>
                <w:sz w:val="19"/>
                <w:szCs w:val="19"/>
              </w:rPr>
              <w:t>53.3%</w:t>
            </w:r>
          </w:p>
        </w:tc>
      </w:tr>
      <w:tr w:rsidR="00B33845" w14:paraId="451AA44E" w14:textId="77777777" w:rsidTr="00016B87">
        <w:tc>
          <w:tcPr>
            <w:tcW w:w="3626"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2EB202A7" w14:textId="77777777" w:rsidR="00B33845" w:rsidRDefault="00B33845" w:rsidP="001D4FAB">
            <w:pPr>
              <w:spacing w:line="276" w:lineRule="auto"/>
              <w:jc w:val="both"/>
            </w:pPr>
            <w:r>
              <w:rPr>
                <w:sz w:val="19"/>
                <w:szCs w:val="19"/>
              </w:rPr>
              <w:t>Emergency repairs completed within target</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7E1C7E7B" w14:textId="77777777" w:rsidR="00B33845" w:rsidRDefault="00B33845" w:rsidP="001D4FAB">
            <w:pPr>
              <w:spacing w:line="276" w:lineRule="auto"/>
              <w:jc w:val="both"/>
            </w:pPr>
            <w:r>
              <w:rPr>
                <w:b/>
                <w:bCs/>
                <w:sz w:val="19"/>
                <w:szCs w:val="19"/>
              </w:rPr>
              <w:t>98.5%</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262D2F45" w14:textId="77777777" w:rsidR="00B33845" w:rsidRDefault="00B33845" w:rsidP="001D4FAB">
            <w:pPr>
              <w:spacing w:line="276" w:lineRule="auto"/>
              <w:jc w:val="both"/>
            </w:pPr>
            <w:r>
              <w:rPr>
                <w:sz w:val="19"/>
                <w:szCs w:val="19"/>
              </w:rPr>
              <w:t>87.5%</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2E7B23D6" w14:textId="77777777" w:rsidR="00B33845" w:rsidRDefault="00B33845" w:rsidP="001D4FAB">
            <w:pPr>
              <w:spacing w:line="276" w:lineRule="auto"/>
              <w:jc w:val="both"/>
            </w:pPr>
            <w:r>
              <w:rPr>
                <w:sz w:val="19"/>
                <w:szCs w:val="19"/>
              </w:rPr>
              <w:t>100.0%</w:t>
            </w:r>
          </w:p>
        </w:tc>
      </w:tr>
    </w:tbl>
    <w:p w14:paraId="2A1E1CD4" w14:textId="7092546F" w:rsidR="00B33845" w:rsidRDefault="00B33845" w:rsidP="001D4FAB">
      <w:pPr>
        <w:spacing w:before="40" w:after="200" w:line="276" w:lineRule="auto"/>
        <w:jc w:val="both"/>
      </w:pPr>
    </w:p>
    <w:p w14:paraId="4761052C" w14:textId="49B3F17F" w:rsidR="00B33845" w:rsidRDefault="6E29CCB5" w:rsidP="001D4FAB">
      <w:pPr>
        <w:spacing w:after="240" w:line="276" w:lineRule="auto"/>
        <w:jc w:val="both"/>
      </w:pPr>
      <w:r>
        <w:t>The proportion of homes not meeting the Decent Homes Standard (5.3%) is broadly stable year on year and is underpinned by significantly more robust stock condition data</w:t>
      </w:r>
      <w:r w:rsidR="5065DF04">
        <w:t>.</w:t>
      </w:r>
      <w:r>
        <w:t xml:space="preserve"> Repairs performance has improved strongly: non-emergency repairs completed within target rose from 53.3% </w:t>
      </w:r>
      <w:r w:rsidR="00D97255">
        <w:t>in 2023/</w:t>
      </w:r>
      <w:r w:rsidR="00D97255" w:rsidRPr="00D97255">
        <w:t>24</w:t>
      </w:r>
      <w:r w:rsidR="00D97255">
        <w:t xml:space="preserve"> </w:t>
      </w:r>
      <w:r>
        <w:t>to 83.2</w:t>
      </w:r>
      <w:r w:rsidR="00D97255">
        <w:t>% in 2025/26</w:t>
      </w:r>
      <w:r>
        <w:t>, and emergency repairs stand at 98.5%. Maintaining high performance on emergency repairs, where resident safety is most directly affected, remains a priority.</w:t>
      </w:r>
    </w:p>
    <w:p w14:paraId="701056D4" w14:textId="77777777" w:rsidR="00B33845" w:rsidRDefault="00B33845" w:rsidP="001D4FAB">
      <w:pPr>
        <w:pStyle w:val="Heading2"/>
        <w:spacing w:line="276" w:lineRule="auto"/>
        <w:jc w:val="both"/>
      </w:pPr>
      <w:r>
        <w:t>Building safety</w:t>
      </w:r>
    </w:p>
    <w:p w14:paraId="3DDFE7CB" w14:textId="4CF2D757" w:rsidR="00B33845" w:rsidRDefault="00B33845" w:rsidP="001D4FAB">
      <w:pPr>
        <w:spacing w:after="120" w:line="276" w:lineRule="auto"/>
        <w:jc w:val="both"/>
      </w:pPr>
      <w:r>
        <w:t xml:space="preserve">Figures show the proportion of homes for which all required safety checks have been carried out. During 2025/26 the Council significantly strengthened this data and the reconciliation and remediation of asset and compliance records, giving a </w:t>
      </w:r>
      <w:proofErr w:type="gramStart"/>
      <w:r>
        <w:t>more complete and auditable</w:t>
      </w:r>
      <w:proofErr w:type="gramEnd"/>
      <w:r>
        <w:t xml:space="preserve"> basis for reporting.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26"/>
        <w:gridCol w:w="1800"/>
        <w:gridCol w:w="1800"/>
        <w:gridCol w:w="1800"/>
      </w:tblGrid>
      <w:tr w:rsidR="00B33845" w14:paraId="14993F77" w14:textId="77777777" w:rsidTr="00016B87">
        <w:trPr>
          <w:tblHeader/>
        </w:trPr>
        <w:tc>
          <w:tcPr>
            <w:tcW w:w="3626"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51CC3C6C" w14:textId="77777777" w:rsidR="00B33845" w:rsidRDefault="00B33845" w:rsidP="001D4FAB">
            <w:pPr>
              <w:spacing w:line="276" w:lineRule="auto"/>
              <w:jc w:val="both"/>
            </w:pPr>
            <w:r>
              <w:rPr>
                <w:b/>
                <w:bCs/>
                <w:color w:val="3A1539"/>
                <w:sz w:val="19"/>
                <w:szCs w:val="19"/>
              </w:rPr>
              <w:t>Measure</w:t>
            </w:r>
          </w:p>
        </w:tc>
        <w:tc>
          <w:tcPr>
            <w:tcW w:w="1800"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2336E7BC" w14:textId="77777777" w:rsidR="00B33845" w:rsidRDefault="00B33845" w:rsidP="001D4FAB">
            <w:pPr>
              <w:spacing w:line="276" w:lineRule="auto"/>
              <w:jc w:val="both"/>
            </w:pPr>
            <w:r>
              <w:rPr>
                <w:b/>
                <w:bCs/>
                <w:color w:val="3A1539"/>
                <w:sz w:val="19"/>
                <w:szCs w:val="19"/>
              </w:rPr>
              <w:t>Brent 2025/26</w:t>
            </w:r>
          </w:p>
        </w:tc>
        <w:tc>
          <w:tcPr>
            <w:tcW w:w="1800"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0C64CB60" w14:textId="77777777" w:rsidR="00B33845" w:rsidRDefault="00B33845" w:rsidP="001D4FAB">
            <w:pPr>
              <w:spacing w:line="276" w:lineRule="auto"/>
              <w:jc w:val="both"/>
            </w:pPr>
            <w:r>
              <w:rPr>
                <w:b/>
                <w:bCs/>
                <w:color w:val="3A1539"/>
                <w:sz w:val="19"/>
                <w:szCs w:val="19"/>
              </w:rPr>
              <w:t>Brent 2024/25</w:t>
            </w:r>
          </w:p>
        </w:tc>
        <w:tc>
          <w:tcPr>
            <w:tcW w:w="1800" w:type="dxa"/>
            <w:tcBorders>
              <w:top w:val="single" w:sz="1" w:space="0" w:color="CCCCCC"/>
              <w:left w:val="single" w:sz="1" w:space="0" w:color="CCCCCC"/>
              <w:bottom w:val="single" w:sz="1" w:space="0" w:color="CCCCCC"/>
              <w:right w:val="single" w:sz="1" w:space="0" w:color="CCCCCC"/>
            </w:tcBorders>
            <w:shd w:val="clear" w:color="auto" w:fill="EDE4F0"/>
            <w:tcMar>
              <w:top w:w="70" w:type="dxa"/>
              <w:left w:w="120" w:type="dxa"/>
              <w:bottom w:w="70" w:type="dxa"/>
              <w:right w:w="120" w:type="dxa"/>
            </w:tcMar>
            <w:vAlign w:val="center"/>
          </w:tcPr>
          <w:p w14:paraId="11DADE92" w14:textId="77777777" w:rsidR="00B33845" w:rsidRDefault="00B33845" w:rsidP="001D4FAB">
            <w:pPr>
              <w:spacing w:line="276" w:lineRule="auto"/>
              <w:jc w:val="both"/>
            </w:pPr>
            <w:r>
              <w:rPr>
                <w:b/>
                <w:bCs/>
                <w:color w:val="3A1539"/>
                <w:sz w:val="19"/>
                <w:szCs w:val="19"/>
              </w:rPr>
              <w:t>Brent 2023/24</w:t>
            </w:r>
          </w:p>
        </w:tc>
      </w:tr>
      <w:tr w:rsidR="00B33845" w14:paraId="6A455108" w14:textId="77777777" w:rsidTr="00016B87">
        <w:tc>
          <w:tcPr>
            <w:tcW w:w="3626"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56246317" w14:textId="77777777" w:rsidR="00B33845" w:rsidRDefault="00B33845" w:rsidP="001D4FAB">
            <w:pPr>
              <w:spacing w:line="276" w:lineRule="auto"/>
              <w:jc w:val="both"/>
            </w:pPr>
            <w:r>
              <w:rPr>
                <w:sz w:val="19"/>
                <w:szCs w:val="19"/>
              </w:rPr>
              <w:t>BS01: Gas safety checks</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4CFA3F4C" w14:textId="77777777" w:rsidR="00B33845" w:rsidRDefault="00B33845" w:rsidP="001D4FAB">
            <w:pPr>
              <w:spacing w:line="276" w:lineRule="auto"/>
              <w:jc w:val="both"/>
            </w:pPr>
            <w:r>
              <w:rPr>
                <w:b/>
                <w:bCs/>
                <w:sz w:val="19"/>
                <w:szCs w:val="19"/>
              </w:rPr>
              <w:t>95.9%</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375B2D90" w14:textId="77777777" w:rsidR="00B33845" w:rsidRDefault="00B33845" w:rsidP="001D4FAB">
            <w:pPr>
              <w:spacing w:line="276" w:lineRule="auto"/>
              <w:jc w:val="both"/>
            </w:pPr>
            <w:r>
              <w:rPr>
                <w:sz w:val="19"/>
                <w:szCs w:val="19"/>
              </w:rPr>
              <w:t>99.3%</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3FEFB6D1" w14:textId="77777777" w:rsidR="00B33845" w:rsidRDefault="00B33845" w:rsidP="001D4FAB">
            <w:pPr>
              <w:spacing w:line="276" w:lineRule="auto"/>
              <w:jc w:val="both"/>
            </w:pPr>
            <w:r>
              <w:rPr>
                <w:sz w:val="19"/>
                <w:szCs w:val="19"/>
              </w:rPr>
              <w:t>99.1%</w:t>
            </w:r>
          </w:p>
        </w:tc>
      </w:tr>
      <w:tr w:rsidR="00B33845" w14:paraId="79CBB89A" w14:textId="77777777" w:rsidTr="00016B87">
        <w:tc>
          <w:tcPr>
            <w:tcW w:w="3626"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00428956" w14:textId="77777777" w:rsidR="00B33845" w:rsidRDefault="00B33845" w:rsidP="001D4FAB">
            <w:pPr>
              <w:spacing w:line="276" w:lineRule="auto"/>
              <w:jc w:val="both"/>
            </w:pPr>
            <w:r>
              <w:rPr>
                <w:sz w:val="19"/>
                <w:szCs w:val="19"/>
              </w:rPr>
              <w:t>BS02: Fire risk assessments</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139B4B29" w14:textId="77777777" w:rsidR="00B33845" w:rsidRDefault="00B33845" w:rsidP="001D4FAB">
            <w:pPr>
              <w:spacing w:line="276" w:lineRule="auto"/>
              <w:jc w:val="both"/>
            </w:pPr>
            <w:r>
              <w:rPr>
                <w:b/>
                <w:bCs/>
                <w:sz w:val="19"/>
                <w:szCs w:val="19"/>
              </w:rPr>
              <w:t>60.7%</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479F3019" w14:textId="77777777" w:rsidR="00B33845" w:rsidRDefault="00B33845" w:rsidP="001D4FAB">
            <w:pPr>
              <w:spacing w:line="276" w:lineRule="auto"/>
              <w:jc w:val="both"/>
            </w:pPr>
            <w:r>
              <w:rPr>
                <w:sz w:val="19"/>
                <w:szCs w:val="19"/>
              </w:rPr>
              <w:t>0%</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41050CE0" w14:textId="77777777" w:rsidR="00B33845" w:rsidRDefault="00B33845" w:rsidP="001D4FAB">
            <w:pPr>
              <w:spacing w:line="276" w:lineRule="auto"/>
              <w:jc w:val="both"/>
            </w:pPr>
            <w:r>
              <w:rPr>
                <w:sz w:val="19"/>
                <w:szCs w:val="19"/>
              </w:rPr>
              <w:t>76.5%</w:t>
            </w:r>
          </w:p>
        </w:tc>
      </w:tr>
      <w:tr w:rsidR="00B33845" w14:paraId="01192060" w14:textId="77777777" w:rsidTr="00016B87">
        <w:tc>
          <w:tcPr>
            <w:tcW w:w="3626"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1775D3E0" w14:textId="77777777" w:rsidR="00B33845" w:rsidRDefault="00B33845" w:rsidP="001D4FAB">
            <w:pPr>
              <w:spacing w:line="276" w:lineRule="auto"/>
              <w:jc w:val="both"/>
            </w:pPr>
            <w:r>
              <w:rPr>
                <w:sz w:val="19"/>
                <w:szCs w:val="19"/>
              </w:rPr>
              <w:t>BS03: Asbestos surveys / re-inspections</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1E4DE975" w14:textId="77777777" w:rsidR="00B33845" w:rsidRDefault="00B33845" w:rsidP="001D4FAB">
            <w:pPr>
              <w:spacing w:line="276" w:lineRule="auto"/>
              <w:jc w:val="both"/>
            </w:pPr>
            <w:r>
              <w:rPr>
                <w:b/>
                <w:bCs/>
                <w:sz w:val="19"/>
                <w:szCs w:val="19"/>
              </w:rPr>
              <w:t>3.0%</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2E01E002" w14:textId="77777777" w:rsidR="00B33845" w:rsidRDefault="00B33845" w:rsidP="001D4FAB">
            <w:pPr>
              <w:spacing w:line="276" w:lineRule="auto"/>
              <w:jc w:val="both"/>
            </w:pPr>
            <w:r>
              <w:rPr>
                <w:sz w:val="19"/>
                <w:szCs w:val="19"/>
              </w:rPr>
              <w:t>0%</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18FB708A" w14:textId="77777777" w:rsidR="00B33845" w:rsidRDefault="00B33845" w:rsidP="001D4FAB">
            <w:pPr>
              <w:spacing w:line="276" w:lineRule="auto"/>
              <w:jc w:val="both"/>
            </w:pPr>
            <w:r>
              <w:rPr>
                <w:sz w:val="19"/>
                <w:szCs w:val="19"/>
              </w:rPr>
              <w:t>100%</w:t>
            </w:r>
          </w:p>
        </w:tc>
      </w:tr>
      <w:tr w:rsidR="00B33845" w14:paraId="7D4E9843" w14:textId="77777777" w:rsidTr="00016B87">
        <w:tc>
          <w:tcPr>
            <w:tcW w:w="3626"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3BFBA5DE" w14:textId="77777777" w:rsidR="00B33845" w:rsidRDefault="00B33845" w:rsidP="001D4FAB">
            <w:pPr>
              <w:spacing w:line="276" w:lineRule="auto"/>
              <w:jc w:val="both"/>
            </w:pPr>
            <w:r>
              <w:rPr>
                <w:sz w:val="19"/>
                <w:szCs w:val="19"/>
              </w:rPr>
              <w:t>BS04: Legionella (water) risk assessments</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401708D2" w14:textId="77777777" w:rsidR="00B33845" w:rsidRDefault="00B33845" w:rsidP="001D4FAB">
            <w:pPr>
              <w:spacing w:line="276" w:lineRule="auto"/>
              <w:jc w:val="both"/>
            </w:pPr>
            <w:r>
              <w:rPr>
                <w:b/>
                <w:bCs/>
                <w:sz w:val="19"/>
                <w:szCs w:val="19"/>
              </w:rPr>
              <w:t>46.6%</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4EBA370E" w14:textId="77777777" w:rsidR="00B33845" w:rsidRDefault="00B33845" w:rsidP="001D4FAB">
            <w:pPr>
              <w:spacing w:line="276" w:lineRule="auto"/>
              <w:jc w:val="both"/>
            </w:pPr>
            <w:r>
              <w:rPr>
                <w:sz w:val="19"/>
                <w:szCs w:val="19"/>
              </w:rPr>
              <w:t>0%</w:t>
            </w:r>
          </w:p>
        </w:tc>
        <w:tc>
          <w:tcPr>
            <w:tcW w:w="1800" w:type="dxa"/>
            <w:tcBorders>
              <w:top w:val="single" w:sz="1" w:space="0" w:color="CCCCCC"/>
              <w:left w:val="single" w:sz="1" w:space="0" w:color="CCCCCC"/>
              <w:bottom w:val="single" w:sz="1" w:space="0" w:color="CCCCCC"/>
              <w:right w:val="single" w:sz="1" w:space="0" w:color="CCCCCC"/>
            </w:tcBorders>
            <w:shd w:val="clear" w:color="auto" w:fill="F7F2F6"/>
            <w:tcMar>
              <w:top w:w="70" w:type="dxa"/>
              <w:left w:w="120" w:type="dxa"/>
              <w:bottom w:w="70" w:type="dxa"/>
              <w:right w:w="120" w:type="dxa"/>
            </w:tcMar>
            <w:vAlign w:val="center"/>
          </w:tcPr>
          <w:p w14:paraId="58DEFAF6" w14:textId="77777777" w:rsidR="00B33845" w:rsidRDefault="00B33845" w:rsidP="001D4FAB">
            <w:pPr>
              <w:spacing w:line="276" w:lineRule="auto"/>
              <w:jc w:val="both"/>
            </w:pPr>
            <w:r>
              <w:rPr>
                <w:sz w:val="19"/>
                <w:szCs w:val="19"/>
              </w:rPr>
              <w:t>99.5%</w:t>
            </w:r>
          </w:p>
        </w:tc>
      </w:tr>
      <w:tr w:rsidR="00B33845" w14:paraId="1E70BF79" w14:textId="77777777" w:rsidTr="00016B87">
        <w:tc>
          <w:tcPr>
            <w:tcW w:w="3626"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4B344DEE" w14:textId="77777777" w:rsidR="00B33845" w:rsidRDefault="00B33845" w:rsidP="001D4FAB">
            <w:pPr>
              <w:spacing w:line="276" w:lineRule="auto"/>
              <w:jc w:val="both"/>
            </w:pPr>
            <w:r>
              <w:rPr>
                <w:sz w:val="19"/>
                <w:szCs w:val="19"/>
              </w:rPr>
              <w:t>BS05: Communal passenger lift safety checks</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309E8C96" w14:textId="77777777" w:rsidR="00B33845" w:rsidRDefault="00B33845" w:rsidP="001D4FAB">
            <w:pPr>
              <w:spacing w:line="276" w:lineRule="auto"/>
              <w:jc w:val="both"/>
            </w:pPr>
            <w:r>
              <w:rPr>
                <w:b/>
                <w:bCs/>
                <w:sz w:val="19"/>
                <w:szCs w:val="19"/>
              </w:rPr>
              <w:t>96.7%</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4D842A43" w14:textId="77777777" w:rsidR="00B33845" w:rsidRDefault="00B33845" w:rsidP="001D4FAB">
            <w:pPr>
              <w:spacing w:line="276" w:lineRule="auto"/>
              <w:jc w:val="both"/>
            </w:pPr>
            <w:r>
              <w:rPr>
                <w:sz w:val="19"/>
                <w:szCs w:val="19"/>
              </w:rPr>
              <w:t>0%</w:t>
            </w:r>
          </w:p>
        </w:tc>
        <w:tc>
          <w:tcPr>
            <w:tcW w:w="1800" w:type="dxa"/>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vAlign w:val="center"/>
          </w:tcPr>
          <w:p w14:paraId="62562906" w14:textId="77777777" w:rsidR="00B33845" w:rsidRDefault="00B33845" w:rsidP="001D4FAB">
            <w:pPr>
              <w:spacing w:line="276" w:lineRule="auto"/>
              <w:jc w:val="both"/>
            </w:pPr>
            <w:r>
              <w:rPr>
                <w:sz w:val="19"/>
                <w:szCs w:val="19"/>
              </w:rPr>
              <w:t>92.4%</w:t>
            </w:r>
          </w:p>
        </w:tc>
      </w:tr>
    </w:tbl>
    <w:p w14:paraId="6B1C89A5" w14:textId="77777777" w:rsidR="001D4FAB" w:rsidRDefault="001D4FAB" w:rsidP="001D4FAB">
      <w:pPr>
        <w:spacing w:before="60" w:after="60" w:line="276" w:lineRule="auto"/>
        <w:jc w:val="both"/>
        <w:rPr>
          <w:i/>
          <w:iCs/>
          <w:color w:val="595959"/>
          <w:sz w:val="18"/>
          <w:szCs w:val="18"/>
        </w:rPr>
      </w:pPr>
    </w:p>
    <w:p w14:paraId="3AA5F446" w14:textId="12F253CD" w:rsidR="00B33845" w:rsidRDefault="5CD1327C" w:rsidP="001D4FAB">
      <w:pPr>
        <w:spacing w:after="240" w:line="276" w:lineRule="auto"/>
        <w:jc w:val="both"/>
      </w:pPr>
      <w:r>
        <w:t xml:space="preserve">Following our self-referral to the Regulator of Social Housing, compliance remains a high </w:t>
      </w:r>
      <w:proofErr w:type="gramStart"/>
      <w:r>
        <w:t>priority</w:t>
      </w:r>
      <w:proofErr w:type="gramEnd"/>
      <w:r>
        <w:t xml:space="preserve"> and we have a recovery plan in place to ensure effective programmes in place to keep residents safe in their homes</w:t>
      </w:r>
      <w:r w:rsidR="651280EE">
        <w:t xml:space="preserve"> and informed</w:t>
      </w:r>
      <w:r>
        <w:t>.</w:t>
      </w:r>
    </w:p>
    <w:p w14:paraId="0B99040A" w14:textId="77777777" w:rsidR="00B33845" w:rsidRDefault="00B33845" w:rsidP="001D4FAB">
      <w:pPr>
        <w:pStyle w:val="Heading1"/>
        <w:spacing w:line="276" w:lineRule="auto"/>
        <w:jc w:val="both"/>
      </w:pPr>
      <w:r>
        <w:t>Our commitment to improvement</w:t>
      </w:r>
    </w:p>
    <w:p w14:paraId="381C25B9" w14:textId="61018167" w:rsidR="00B33845" w:rsidRDefault="00B33845" w:rsidP="001D4FAB">
      <w:pPr>
        <w:spacing w:after="200" w:line="276" w:lineRule="auto"/>
        <w:jc w:val="both"/>
      </w:pPr>
      <w:r>
        <w:t>The results in this report, and the independent assurance work behind them, give us and our residents an honest picture of where we stand.</w:t>
      </w:r>
    </w:p>
    <w:p w14:paraId="00B11D13" w14:textId="68ED9076" w:rsidR="00B33845" w:rsidRDefault="00B33845" w:rsidP="001D4FAB">
      <w:pPr>
        <w:spacing w:after="200" w:line="276" w:lineRule="auto"/>
        <w:jc w:val="both"/>
      </w:pPr>
      <w:r>
        <w:t>We continue to meet regularly with the Regulator of Social Housing to update them on our performance and to ensure that, where we are not yet at the required level, our position improves as quickly as possible.</w:t>
      </w:r>
      <w:r w:rsidR="29042737">
        <w:t xml:space="preserve"> We will continue to work with independent experts</w:t>
      </w:r>
      <w:r w:rsidR="44D6D1A7">
        <w:t>, where applicable,</w:t>
      </w:r>
      <w:r w:rsidR="29042737">
        <w:t xml:space="preserve"> to provide </w:t>
      </w:r>
      <w:r w:rsidR="7555ADEC">
        <w:t xml:space="preserve">further </w:t>
      </w:r>
      <w:r w:rsidR="29042737">
        <w:t>assurance.</w:t>
      </w:r>
    </w:p>
    <w:p w14:paraId="25B5092B" w14:textId="77777777" w:rsidR="00B33845" w:rsidRDefault="00B33845" w:rsidP="001D4FAB">
      <w:pPr>
        <w:pStyle w:val="Heading1"/>
        <w:spacing w:line="276" w:lineRule="auto"/>
        <w:jc w:val="both"/>
      </w:pPr>
      <w:r>
        <w:lastRenderedPageBreak/>
        <w:t>Notes on the data</w:t>
      </w:r>
    </w:p>
    <w:p w14:paraId="2D2D70FE" w14:textId="77777777" w:rsidR="00B33845" w:rsidRDefault="00B33845" w:rsidP="001D4FAB">
      <w:pPr>
        <w:pStyle w:val="ListParagraph"/>
        <w:numPr>
          <w:ilvl w:val="0"/>
          <w:numId w:val="2"/>
        </w:numPr>
        <w:spacing w:after="90" w:line="276" w:lineRule="auto"/>
        <w:contextualSpacing w:val="0"/>
        <w:jc w:val="both"/>
      </w:pPr>
      <w:r>
        <w:t>The tenant perception measures are drawn from an independent tenant perception survey for 2025/26; benchmarks are the Housemark national and London medians.</w:t>
      </w:r>
    </w:p>
    <w:p w14:paraId="4354925C" w14:textId="77777777" w:rsidR="00B33845" w:rsidRDefault="00B33845" w:rsidP="001D4FAB">
      <w:pPr>
        <w:pStyle w:val="ListParagraph"/>
        <w:numPr>
          <w:ilvl w:val="0"/>
          <w:numId w:val="2"/>
        </w:numPr>
        <w:spacing w:after="90" w:line="276" w:lineRule="auto"/>
        <w:contextualSpacing w:val="0"/>
        <w:jc w:val="both"/>
      </w:pPr>
      <w:r>
        <w:t>The management information measures are based on the Council’s own performance and compliance data and have been independently audited by Housemark.</w:t>
      </w:r>
    </w:p>
    <w:p w14:paraId="1E7F9998" w14:textId="77777777" w:rsidR="00B33845" w:rsidRDefault="00B33845" w:rsidP="001D4FAB">
      <w:pPr>
        <w:pStyle w:val="ListParagraph"/>
        <w:numPr>
          <w:ilvl w:val="0"/>
          <w:numId w:val="2"/>
        </w:numPr>
        <w:spacing w:after="90" w:line="276" w:lineRule="auto"/>
        <w:contextualSpacing w:val="0"/>
        <w:jc w:val="both"/>
      </w:pPr>
      <w:r>
        <w:t>This report contains aggregate performance information only and no personal data relating to individual residents.</w:t>
      </w:r>
    </w:p>
    <w:p w14:paraId="20342700" w14:textId="1BE197C4" w:rsidR="00B33845" w:rsidRDefault="00B33845" w:rsidP="001D4FAB">
      <w:pPr>
        <w:pStyle w:val="ListParagraph"/>
        <w:numPr>
          <w:ilvl w:val="0"/>
          <w:numId w:val="2"/>
        </w:numPr>
        <w:spacing w:after="90" w:line="276" w:lineRule="auto"/>
        <w:contextualSpacing w:val="0"/>
        <w:jc w:val="both"/>
      </w:pPr>
      <w:r>
        <w:t>Further detail on the survey approach</w:t>
      </w:r>
      <w:r w:rsidR="00D97255">
        <w:t xml:space="preserve"> and </w:t>
      </w:r>
      <w:r>
        <w:t>survey questions is available in the published TSM appendices.</w:t>
      </w:r>
    </w:p>
    <w:p w14:paraId="05336002" w14:textId="77777777" w:rsidR="00B33845" w:rsidRDefault="00B33845" w:rsidP="001D4FAB">
      <w:pPr>
        <w:spacing w:line="276" w:lineRule="auto"/>
        <w:jc w:val="both"/>
      </w:pPr>
    </w:p>
    <w:sectPr w:rsidR="00B33845" w:rsidSect="00581B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B365A"/>
    <w:multiLevelType w:val="hybridMultilevel"/>
    <w:tmpl w:val="A8A6557E"/>
    <w:lvl w:ilvl="0" w:tplc="21B6A56C">
      <w:start w:val="1"/>
      <w:numFmt w:val="bullet"/>
      <w:lvlText w:val="•"/>
      <w:lvlJc w:val="left"/>
      <w:pPr>
        <w:ind w:left="460" w:hanging="260"/>
      </w:pPr>
    </w:lvl>
    <w:lvl w:ilvl="1" w:tplc="96D8675A">
      <w:numFmt w:val="decimal"/>
      <w:lvlText w:val=""/>
      <w:lvlJc w:val="left"/>
    </w:lvl>
    <w:lvl w:ilvl="2" w:tplc="63C86BBE">
      <w:numFmt w:val="decimal"/>
      <w:lvlText w:val=""/>
      <w:lvlJc w:val="left"/>
    </w:lvl>
    <w:lvl w:ilvl="3" w:tplc="E064FF72">
      <w:numFmt w:val="decimal"/>
      <w:lvlText w:val=""/>
      <w:lvlJc w:val="left"/>
    </w:lvl>
    <w:lvl w:ilvl="4" w:tplc="6F603C8E">
      <w:numFmt w:val="decimal"/>
      <w:lvlText w:val=""/>
      <w:lvlJc w:val="left"/>
    </w:lvl>
    <w:lvl w:ilvl="5" w:tplc="A8542690">
      <w:numFmt w:val="decimal"/>
      <w:lvlText w:val=""/>
      <w:lvlJc w:val="left"/>
    </w:lvl>
    <w:lvl w:ilvl="6" w:tplc="A6C45C22">
      <w:numFmt w:val="decimal"/>
      <w:lvlText w:val=""/>
      <w:lvlJc w:val="left"/>
    </w:lvl>
    <w:lvl w:ilvl="7" w:tplc="1018C0C8">
      <w:numFmt w:val="decimal"/>
      <w:lvlText w:val=""/>
      <w:lvlJc w:val="left"/>
    </w:lvl>
    <w:lvl w:ilvl="8" w:tplc="44281212">
      <w:numFmt w:val="decimal"/>
      <w:lvlText w:val=""/>
      <w:lvlJc w:val="left"/>
    </w:lvl>
  </w:abstractNum>
  <w:abstractNum w:abstractNumId="1" w15:restartNumberingAfterBreak="0">
    <w:nsid w:val="60CB16B1"/>
    <w:multiLevelType w:val="multilevel"/>
    <w:tmpl w:val="51EA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962554"/>
    <w:multiLevelType w:val="multilevel"/>
    <w:tmpl w:val="612A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250305">
    <w:abstractNumId w:val="2"/>
  </w:num>
  <w:num w:numId="2" w16cid:durableId="1855343014">
    <w:abstractNumId w:val="0"/>
    <w:lvlOverride w:ilvl="0">
      <w:startOverride w:val="1"/>
    </w:lvlOverride>
  </w:num>
  <w:num w:numId="3" w16cid:durableId="291641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10"/>
    <w:rsid w:val="00016B87"/>
    <w:rsid w:val="000B4317"/>
    <w:rsid w:val="00110223"/>
    <w:rsid w:val="001A407F"/>
    <w:rsid w:val="001C4487"/>
    <w:rsid w:val="001D4FAB"/>
    <w:rsid w:val="00212A50"/>
    <w:rsid w:val="002722CD"/>
    <w:rsid w:val="002C054F"/>
    <w:rsid w:val="003D1D51"/>
    <w:rsid w:val="003E2756"/>
    <w:rsid w:val="004015E8"/>
    <w:rsid w:val="00405B6C"/>
    <w:rsid w:val="004224C5"/>
    <w:rsid w:val="00444903"/>
    <w:rsid w:val="005503BE"/>
    <w:rsid w:val="00572844"/>
    <w:rsid w:val="00581B10"/>
    <w:rsid w:val="005C0356"/>
    <w:rsid w:val="00610C5A"/>
    <w:rsid w:val="0073790B"/>
    <w:rsid w:val="00776F5C"/>
    <w:rsid w:val="007C3685"/>
    <w:rsid w:val="00802D69"/>
    <w:rsid w:val="008111C2"/>
    <w:rsid w:val="0081586D"/>
    <w:rsid w:val="00962646"/>
    <w:rsid w:val="009813BF"/>
    <w:rsid w:val="009A0BE7"/>
    <w:rsid w:val="00A26805"/>
    <w:rsid w:val="00A8191C"/>
    <w:rsid w:val="00A871E1"/>
    <w:rsid w:val="00AE3451"/>
    <w:rsid w:val="00B22B94"/>
    <w:rsid w:val="00B27F42"/>
    <w:rsid w:val="00B33845"/>
    <w:rsid w:val="00B5734A"/>
    <w:rsid w:val="00B96821"/>
    <w:rsid w:val="00BA1C5C"/>
    <w:rsid w:val="00BC2DEA"/>
    <w:rsid w:val="00BD341D"/>
    <w:rsid w:val="00C778A8"/>
    <w:rsid w:val="00C82CD5"/>
    <w:rsid w:val="00CA52A0"/>
    <w:rsid w:val="00CA790B"/>
    <w:rsid w:val="00CB480B"/>
    <w:rsid w:val="00D051A4"/>
    <w:rsid w:val="00D3789C"/>
    <w:rsid w:val="00D42B1A"/>
    <w:rsid w:val="00D97255"/>
    <w:rsid w:val="00DA371D"/>
    <w:rsid w:val="00DD1352"/>
    <w:rsid w:val="00DF762F"/>
    <w:rsid w:val="00E3E723"/>
    <w:rsid w:val="00E61955"/>
    <w:rsid w:val="00E96F0C"/>
    <w:rsid w:val="00FB5E48"/>
    <w:rsid w:val="04327D38"/>
    <w:rsid w:val="05822FD1"/>
    <w:rsid w:val="0A10EA52"/>
    <w:rsid w:val="0C6C0114"/>
    <w:rsid w:val="0E464F56"/>
    <w:rsid w:val="0F6F21A0"/>
    <w:rsid w:val="111E6BC9"/>
    <w:rsid w:val="12C9FDC4"/>
    <w:rsid w:val="1AB038D3"/>
    <w:rsid w:val="1BDBA441"/>
    <w:rsid w:val="1CABA3FD"/>
    <w:rsid w:val="1EAEF1AA"/>
    <w:rsid w:val="239CDD3B"/>
    <w:rsid w:val="27DA1585"/>
    <w:rsid w:val="287A9D39"/>
    <w:rsid w:val="29042737"/>
    <w:rsid w:val="299552F1"/>
    <w:rsid w:val="2C2BCB08"/>
    <w:rsid w:val="2EEB2CFA"/>
    <w:rsid w:val="2F8F9747"/>
    <w:rsid w:val="2F94D76A"/>
    <w:rsid w:val="307CC187"/>
    <w:rsid w:val="311A0262"/>
    <w:rsid w:val="38C0DBCB"/>
    <w:rsid w:val="3A9799FB"/>
    <w:rsid w:val="3B49DB4D"/>
    <w:rsid w:val="3BAF5FC4"/>
    <w:rsid w:val="3CE33BBD"/>
    <w:rsid w:val="3D66B3AC"/>
    <w:rsid w:val="4005D07C"/>
    <w:rsid w:val="4090C0EB"/>
    <w:rsid w:val="41C259E7"/>
    <w:rsid w:val="41E91842"/>
    <w:rsid w:val="44D6D1A7"/>
    <w:rsid w:val="498CF57D"/>
    <w:rsid w:val="4A85E546"/>
    <w:rsid w:val="4AA5ADA7"/>
    <w:rsid w:val="4FF54609"/>
    <w:rsid w:val="5065DF04"/>
    <w:rsid w:val="52940CE6"/>
    <w:rsid w:val="54AAD3D0"/>
    <w:rsid w:val="54E0CB13"/>
    <w:rsid w:val="553BFA0C"/>
    <w:rsid w:val="5579B42F"/>
    <w:rsid w:val="56170853"/>
    <w:rsid w:val="5A56BA3C"/>
    <w:rsid w:val="5AA6A5B2"/>
    <w:rsid w:val="5AD4B63D"/>
    <w:rsid w:val="5CD1327C"/>
    <w:rsid w:val="5D405B87"/>
    <w:rsid w:val="5E2B0371"/>
    <w:rsid w:val="5E79A469"/>
    <w:rsid w:val="5E96854B"/>
    <w:rsid w:val="6089BA3E"/>
    <w:rsid w:val="61542AC8"/>
    <w:rsid w:val="6154E8DC"/>
    <w:rsid w:val="6242FE6D"/>
    <w:rsid w:val="62AD94FF"/>
    <w:rsid w:val="6457A605"/>
    <w:rsid w:val="65075086"/>
    <w:rsid w:val="651280EE"/>
    <w:rsid w:val="6E22470F"/>
    <w:rsid w:val="6E29CCB5"/>
    <w:rsid w:val="70FEF4A0"/>
    <w:rsid w:val="74FF7D38"/>
    <w:rsid w:val="7555ADEC"/>
    <w:rsid w:val="756127E7"/>
    <w:rsid w:val="7615ECD3"/>
    <w:rsid w:val="7E0503EE"/>
    <w:rsid w:val="7F568D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6C788"/>
  <w15:chartTrackingRefBased/>
  <w15:docId w15:val="{718F9DDC-B8E6-4049-9473-A6193598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B10"/>
  </w:style>
  <w:style w:type="paragraph" w:styleId="Heading1">
    <w:name w:val="heading 1"/>
    <w:basedOn w:val="Normal"/>
    <w:next w:val="Normal"/>
    <w:link w:val="Heading1Char"/>
    <w:uiPriority w:val="9"/>
    <w:qFormat/>
    <w:rsid w:val="0058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B10"/>
    <w:rPr>
      <w:rFonts w:eastAsiaTheme="majorEastAsia" w:cstheme="majorBidi"/>
      <w:color w:val="272727" w:themeColor="text1" w:themeTint="D8"/>
    </w:rPr>
  </w:style>
  <w:style w:type="paragraph" w:styleId="Title">
    <w:name w:val="Title"/>
    <w:basedOn w:val="Normal"/>
    <w:next w:val="Normal"/>
    <w:link w:val="TitleChar"/>
    <w:uiPriority w:val="10"/>
    <w:qFormat/>
    <w:rsid w:val="0058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B10"/>
    <w:pPr>
      <w:spacing w:before="160"/>
      <w:jc w:val="center"/>
    </w:pPr>
    <w:rPr>
      <w:i/>
      <w:iCs/>
      <w:color w:val="404040" w:themeColor="text1" w:themeTint="BF"/>
    </w:rPr>
  </w:style>
  <w:style w:type="character" w:customStyle="1" w:styleId="QuoteChar">
    <w:name w:val="Quote Char"/>
    <w:basedOn w:val="DefaultParagraphFont"/>
    <w:link w:val="Quote"/>
    <w:uiPriority w:val="29"/>
    <w:rsid w:val="00581B10"/>
    <w:rPr>
      <w:i/>
      <w:iCs/>
      <w:color w:val="404040" w:themeColor="text1" w:themeTint="BF"/>
    </w:rPr>
  </w:style>
  <w:style w:type="paragraph" w:styleId="ListParagraph">
    <w:name w:val="List Paragraph"/>
    <w:basedOn w:val="Normal"/>
    <w:qFormat/>
    <w:rsid w:val="00581B10"/>
    <w:pPr>
      <w:ind w:left="720"/>
      <w:contextualSpacing/>
    </w:pPr>
  </w:style>
  <w:style w:type="character" w:styleId="IntenseEmphasis">
    <w:name w:val="Intense Emphasis"/>
    <w:basedOn w:val="DefaultParagraphFont"/>
    <w:uiPriority w:val="21"/>
    <w:qFormat/>
    <w:rsid w:val="00581B10"/>
    <w:rPr>
      <w:i/>
      <w:iCs/>
      <w:color w:val="0F4761" w:themeColor="accent1" w:themeShade="BF"/>
    </w:rPr>
  </w:style>
  <w:style w:type="paragraph" w:styleId="IntenseQuote">
    <w:name w:val="Intense Quote"/>
    <w:basedOn w:val="Normal"/>
    <w:next w:val="Normal"/>
    <w:link w:val="IntenseQuoteChar"/>
    <w:uiPriority w:val="30"/>
    <w:qFormat/>
    <w:rsid w:val="0058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B10"/>
    <w:rPr>
      <w:i/>
      <w:iCs/>
      <w:color w:val="0F4761" w:themeColor="accent1" w:themeShade="BF"/>
    </w:rPr>
  </w:style>
  <w:style w:type="character" w:styleId="IntenseReference">
    <w:name w:val="Intense Reference"/>
    <w:basedOn w:val="DefaultParagraphFont"/>
    <w:uiPriority w:val="32"/>
    <w:qFormat/>
    <w:rsid w:val="00581B10"/>
    <w:rPr>
      <w:b/>
      <w:bCs/>
      <w:smallCaps/>
      <w:color w:val="0F4761" w:themeColor="accent1" w:themeShade="BF"/>
      <w:spacing w:val="5"/>
    </w:rPr>
  </w:style>
  <w:style w:type="table" w:styleId="TableGrid">
    <w:name w:val="Table Grid"/>
    <w:basedOn w:val="TableNormal"/>
    <w:uiPriority w:val="39"/>
    <w:rsid w:val="00581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B10"/>
    <w:rPr>
      <w:color w:val="467886" w:themeColor="hyperlink"/>
      <w:u w:val="single"/>
    </w:rPr>
  </w:style>
  <w:style w:type="character" w:styleId="UnresolvedMention">
    <w:name w:val="Unresolved Mention"/>
    <w:basedOn w:val="DefaultParagraphFont"/>
    <w:uiPriority w:val="99"/>
    <w:semiHidden/>
    <w:unhideWhenUsed/>
    <w:rsid w:val="00212A50"/>
    <w:rPr>
      <w:color w:val="605E5C"/>
      <w:shd w:val="clear" w:color="auto" w:fill="E1DFDD"/>
    </w:rPr>
  </w:style>
  <w:style w:type="character" w:styleId="FollowedHyperlink">
    <w:name w:val="FollowedHyperlink"/>
    <w:basedOn w:val="DefaultParagraphFont"/>
    <w:uiPriority w:val="99"/>
    <w:semiHidden/>
    <w:unhideWhenUsed/>
    <w:rsid w:val="00212A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consultation-on-the-introduction-of-tenant-satisfaction-measures/outcome/tenant-satisfaction-measures-summary-of-rsh-requirements-accessibl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ata.brent.gov.uk/download/2j396/2xw/TSM%20Approach%202025-20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cdddf3-3b7d-4832-915b-06865898309d" xsi:nil="true"/>
    <lcf76f155ced4ddcb4097134ff3c332f xmlns="3e69021b-d30d-4ce4-8ec2-78215f4039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1E5ECDEE8B24D93A9226596764530" ma:contentTypeVersion="11" ma:contentTypeDescription="Create a new document." ma:contentTypeScope="" ma:versionID="390d44deacf96f426ca947df1de15603">
  <xsd:schema xmlns:xsd="http://www.w3.org/2001/XMLSchema" xmlns:xs="http://www.w3.org/2001/XMLSchema" xmlns:p="http://schemas.microsoft.com/office/2006/metadata/properties" xmlns:ns2="3e69021b-d30d-4ce4-8ec2-78215f4039d5" xmlns:ns3="bdcdddf3-3b7d-4832-915b-06865898309d" targetNamespace="http://schemas.microsoft.com/office/2006/metadata/properties" ma:root="true" ma:fieldsID="ebb3655f264e19c2b8e01f5a23eb0c6d" ns2:_="" ns3:_="">
    <xsd:import namespace="3e69021b-d30d-4ce4-8ec2-78215f4039d5"/>
    <xsd:import namespace="bdcdddf3-3b7d-4832-915b-06865898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9021b-d30d-4ce4-8ec2-78215f403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3f4cb5b-1e6f-48ac-8412-c927db84bb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cdddf3-3b7d-4832-915b-0686589830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5adac4-1e7f-4abd-8d83-20e4e3e13ac1}" ma:internalName="TaxCatchAll" ma:showField="CatchAllData" ma:web="bdcdddf3-3b7d-4832-915b-06865898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D1512-6A6E-49D1-8DA4-251D2BECCA38}">
  <ds:schemaRefs>
    <ds:schemaRef ds:uri="http://schemas.microsoft.com/sharepoint/v3/contenttype/forms"/>
  </ds:schemaRefs>
</ds:datastoreItem>
</file>

<file path=customXml/itemProps2.xml><?xml version="1.0" encoding="utf-8"?>
<ds:datastoreItem xmlns:ds="http://schemas.openxmlformats.org/officeDocument/2006/customXml" ds:itemID="{022204A8-0A34-44CB-B1F6-89ED61D6C22D}">
  <ds:schemaRefs>
    <ds:schemaRef ds:uri="http://schemas.microsoft.com/office/2006/metadata/properties"/>
    <ds:schemaRef ds:uri="http://schemas.microsoft.com/office/infopath/2007/PartnerControls"/>
    <ds:schemaRef ds:uri="bdcdddf3-3b7d-4832-915b-06865898309d"/>
    <ds:schemaRef ds:uri="3e69021b-d30d-4ce4-8ec2-78215f4039d5"/>
  </ds:schemaRefs>
</ds:datastoreItem>
</file>

<file path=customXml/itemProps3.xml><?xml version="1.0" encoding="utf-8"?>
<ds:datastoreItem xmlns:ds="http://schemas.openxmlformats.org/officeDocument/2006/customXml" ds:itemID="{E24D7224-98A4-41A3-B915-4B53C8D25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9021b-d30d-4ce4-8ec2-78215f4039d5"/>
    <ds:schemaRef ds:uri="bdcdddf3-3b7d-4832-915b-06865898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871</Words>
  <Characters>5784</Characters>
  <Application>Microsoft Office Word</Application>
  <DocSecurity>4</DocSecurity>
  <Lines>170</Lines>
  <Paragraphs>141</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Oladapo, Emmanuel</dc:creator>
  <cp:keywords/>
  <dc:description/>
  <cp:lastModifiedBy>Serugo-Lugo, Fatuma</cp:lastModifiedBy>
  <cp:revision>2</cp:revision>
  <dcterms:created xsi:type="dcterms:W3CDTF">2026-06-30T10:14:00Z</dcterms:created>
  <dcterms:modified xsi:type="dcterms:W3CDTF">2026-06-30T10:14:00Z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0x01010020E1E5ECDEE8B24D93A9226596764530</vt:lpwstr>
  </property>
  <property fmtid="{D5CDD505-2E9C-101B-9397-08002B2CF9AE}" pid="3" name="MediaServiceImageTags">
    <vt:lpwstr/>
  </property>
  <property fmtid="{D5CDD505-2E9C-101B-9397-08002B2CF9AE}" pid="4" name="_AdHocReviewCycleID">
    <vt:i4>2070686279</vt:i4>
  </property>
  <property fmtid="{D5CDD505-2E9C-101B-9397-08002B2CF9AE}" pid="5" name="_NewReviewCycle">
    <vt:lpwstr/>
  </property>
  <property fmtid="{D5CDD505-2E9C-101B-9397-08002B2CF9AE}" pid="6" name="_EmailSubject">
    <vt:lpwstr>TSM Publication Report</vt:lpwstr>
  </property>
  <property fmtid="{D5CDD505-2E9C-101B-9397-08002B2CF9AE}" pid="7" name="_AuthorEmail">
    <vt:lpwstr>Emmanuel.Oladapo@brent.gov.uk</vt:lpwstr>
  </property>
  <property fmtid="{D5CDD505-2E9C-101B-9397-08002B2CF9AE}" pid="8" name="_AuthorEmailDisplayName">
    <vt:lpwstr>Oladapo, Emmanuel</vt:lpwstr>
  </property>
  <property fmtid="{D5CDD505-2E9C-101B-9397-08002B2CF9AE}" pid="9" name="_ReviewingToolsShownOnce">
    <vt:lpwstr/>
  </property>
</Properties>
</file>