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F6184" w14:textId="2BAF7CAF" w:rsidR="005063E9" w:rsidRPr="0078687F" w:rsidRDefault="005063E9">
      <w:pPr>
        <w:rPr>
          <w:b/>
          <w:bCs/>
        </w:rPr>
      </w:pPr>
      <w:r w:rsidRPr="0078687F">
        <w:rPr>
          <w:b/>
          <w:bCs/>
        </w:rPr>
        <w:t>Annual Report of decisions made under the Provider Selection Regime</w:t>
      </w:r>
    </w:p>
    <w:p w14:paraId="5E5C637B" w14:textId="4DE5ACF2" w:rsidR="00B76977" w:rsidRDefault="005063E9" w:rsidP="00F72C56">
      <w:r w:rsidRPr="005063E9">
        <w:t xml:space="preserve">In line with Regulation 25 of the Health Care Services (Provider Selection Regime) </w:t>
      </w:r>
      <w:r w:rsidR="005C5DAD">
        <w:t>R</w:t>
      </w:r>
      <w:r w:rsidRPr="005063E9">
        <w:t>egulations 2023</w:t>
      </w:r>
      <w:r>
        <w:t xml:space="preserve">, the Council </w:t>
      </w:r>
      <w:r w:rsidRPr="005063E9">
        <w:t xml:space="preserve">publishes an annual summary of contracting activity for the provision of relevant Health Care Services. </w:t>
      </w:r>
      <w:r w:rsidR="00B76977" w:rsidRPr="00F72C56">
        <w:t xml:space="preserve">This is the </w:t>
      </w:r>
      <w:r w:rsidR="00781BFA">
        <w:t>second</w:t>
      </w:r>
      <w:r w:rsidR="00B76977" w:rsidRPr="00F72C56">
        <w:t xml:space="preserve"> annual report required pursuant to the Health Care Services (Provider Selection Regime) Regulations 2023. </w:t>
      </w:r>
    </w:p>
    <w:p w14:paraId="40838C94" w14:textId="2A3AEE01" w:rsidR="00714B6A" w:rsidRDefault="005063E9" w:rsidP="00F72C56">
      <w:r w:rsidRPr="005063E9">
        <w:t xml:space="preserve">This summary relates to the period of </w:t>
      </w:r>
      <w:r w:rsidR="00781BFA" w:rsidRPr="00781BFA">
        <w:t>1st April 2025 – 31st March 2026.</w:t>
      </w:r>
      <w:r w:rsidR="00F72C56" w:rsidRPr="00F72C56">
        <w:t xml:space="preserve"> </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8"/>
        <w:gridCol w:w="1134"/>
      </w:tblGrid>
      <w:tr w:rsidR="00082A47" w:rsidRPr="00082A47" w14:paraId="61DA594E" w14:textId="77777777" w:rsidTr="005C5DAD">
        <w:trPr>
          <w:trHeight w:val="290"/>
          <w:tblHeader/>
        </w:trPr>
        <w:tc>
          <w:tcPr>
            <w:tcW w:w="7508" w:type="dxa"/>
            <w:noWrap/>
            <w:vAlign w:val="bottom"/>
            <w:hideMark/>
          </w:tcPr>
          <w:p w14:paraId="0DEB87E0" w14:textId="77777777" w:rsidR="00082A47" w:rsidRPr="00082A47" w:rsidRDefault="00082A47" w:rsidP="00082A47">
            <w:pPr>
              <w:spacing w:after="0" w:line="240" w:lineRule="auto"/>
              <w:rPr>
                <w:rFonts w:ascii="Aptos Narrow" w:eastAsia="Times New Roman" w:hAnsi="Aptos Narrow" w:cs="Times New Roman"/>
                <w:b/>
                <w:bCs/>
                <w:color w:val="000000"/>
                <w:kern w:val="0"/>
                <w:sz w:val="22"/>
                <w:szCs w:val="22"/>
                <w:lang w:eastAsia="en-GB"/>
                <w14:ligatures w14:val="none"/>
              </w:rPr>
            </w:pPr>
            <w:r w:rsidRPr="00082A47">
              <w:rPr>
                <w:rFonts w:ascii="Aptos Narrow" w:eastAsia="Times New Roman" w:hAnsi="Aptos Narrow" w:cs="Times New Roman"/>
                <w:b/>
                <w:bCs/>
                <w:color w:val="000000"/>
                <w:kern w:val="0"/>
                <w:sz w:val="22"/>
                <w:szCs w:val="22"/>
                <w:lang w:eastAsia="en-GB"/>
                <w14:ligatures w14:val="none"/>
              </w:rPr>
              <w:t xml:space="preserve">PSR Annual summary </w:t>
            </w:r>
          </w:p>
        </w:tc>
        <w:tc>
          <w:tcPr>
            <w:tcW w:w="1134" w:type="dxa"/>
            <w:noWrap/>
            <w:vAlign w:val="bottom"/>
            <w:hideMark/>
          </w:tcPr>
          <w:p w14:paraId="1FC84A62" w14:textId="40E7325F" w:rsidR="00082A47" w:rsidRPr="00082A47" w:rsidRDefault="00082A47" w:rsidP="00082A47">
            <w:pPr>
              <w:spacing w:after="0" w:line="240" w:lineRule="auto"/>
              <w:rPr>
                <w:rFonts w:ascii="Aptos Narrow" w:eastAsia="Times New Roman" w:hAnsi="Aptos Narrow" w:cs="Times New Roman"/>
                <w:b/>
                <w:bCs/>
                <w:color w:val="000000"/>
                <w:kern w:val="0"/>
                <w:sz w:val="22"/>
                <w:szCs w:val="22"/>
                <w:lang w:eastAsia="en-GB"/>
                <w14:ligatures w14:val="none"/>
              </w:rPr>
            </w:pPr>
            <w:r w:rsidRPr="00082A47">
              <w:rPr>
                <w:rFonts w:ascii="Aptos Narrow" w:eastAsia="Times New Roman" w:hAnsi="Aptos Narrow" w:cs="Times New Roman"/>
                <w:b/>
                <w:bCs/>
                <w:color w:val="000000"/>
                <w:kern w:val="0"/>
                <w:sz w:val="22"/>
                <w:szCs w:val="22"/>
                <w:lang w:eastAsia="en-GB"/>
                <w14:ligatures w14:val="none"/>
              </w:rPr>
              <w:t>202</w:t>
            </w:r>
            <w:r w:rsidR="00781BFA">
              <w:rPr>
                <w:rFonts w:ascii="Aptos Narrow" w:eastAsia="Times New Roman" w:hAnsi="Aptos Narrow" w:cs="Times New Roman"/>
                <w:b/>
                <w:bCs/>
                <w:color w:val="000000"/>
                <w:kern w:val="0"/>
                <w:sz w:val="22"/>
                <w:szCs w:val="22"/>
                <w:lang w:eastAsia="en-GB"/>
                <w14:ligatures w14:val="none"/>
              </w:rPr>
              <w:t>5</w:t>
            </w:r>
            <w:r w:rsidRPr="00082A47">
              <w:rPr>
                <w:rFonts w:ascii="Aptos Narrow" w:eastAsia="Times New Roman" w:hAnsi="Aptos Narrow" w:cs="Times New Roman"/>
                <w:b/>
                <w:bCs/>
                <w:color w:val="000000"/>
                <w:kern w:val="0"/>
                <w:sz w:val="22"/>
                <w:szCs w:val="22"/>
                <w:lang w:eastAsia="en-GB"/>
                <w14:ligatures w14:val="none"/>
              </w:rPr>
              <w:t>/2</w:t>
            </w:r>
            <w:r w:rsidR="00781BFA">
              <w:rPr>
                <w:rFonts w:ascii="Aptos Narrow" w:eastAsia="Times New Roman" w:hAnsi="Aptos Narrow" w:cs="Times New Roman"/>
                <w:b/>
                <w:bCs/>
                <w:color w:val="000000"/>
                <w:kern w:val="0"/>
                <w:sz w:val="22"/>
                <w:szCs w:val="22"/>
                <w:lang w:eastAsia="en-GB"/>
                <w14:ligatures w14:val="none"/>
              </w:rPr>
              <w:t>6</w:t>
            </w:r>
          </w:p>
        </w:tc>
      </w:tr>
      <w:tr w:rsidR="00082A47" w:rsidRPr="00082A47" w14:paraId="1F60CBBD" w14:textId="77777777" w:rsidTr="005C5DAD">
        <w:trPr>
          <w:trHeight w:val="303"/>
        </w:trPr>
        <w:tc>
          <w:tcPr>
            <w:tcW w:w="7508" w:type="dxa"/>
            <w:vAlign w:val="bottom"/>
            <w:hideMark/>
          </w:tcPr>
          <w:p w14:paraId="10A0FF06" w14:textId="77777777" w:rsidR="00082A47" w:rsidRPr="00082A47" w:rsidRDefault="00082A47" w:rsidP="00082A47">
            <w:pPr>
              <w:spacing w:after="0" w:line="240" w:lineRule="auto"/>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number of contracts directly awarded under direct award process A</w:t>
            </w:r>
          </w:p>
        </w:tc>
        <w:tc>
          <w:tcPr>
            <w:tcW w:w="1134" w:type="dxa"/>
            <w:noWrap/>
            <w:vAlign w:val="bottom"/>
            <w:hideMark/>
          </w:tcPr>
          <w:p w14:paraId="0B643C0F" w14:textId="77777777" w:rsidR="00082A47" w:rsidRPr="00082A47" w:rsidRDefault="00082A47" w:rsidP="00082A47">
            <w:pPr>
              <w:spacing w:after="0" w:line="240" w:lineRule="auto"/>
              <w:jc w:val="right"/>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0</w:t>
            </w:r>
          </w:p>
        </w:tc>
      </w:tr>
      <w:tr w:rsidR="00082A47" w:rsidRPr="00082A47" w14:paraId="358AB0E7" w14:textId="77777777" w:rsidTr="005C5DAD">
        <w:trPr>
          <w:trHeight w:val="265"/>
        </w:trPr>
        <w:tc>
          <w:tcPr>
            <w:tcW w:w="7508" w:type="dxa"/>
            <w:vAlign w:val="bottom"/>
            <w:hideMark/>
          </w:tcPr>
          <w:p w14:paraId="5F74E5A7" w14:textId="77777777" w:rsidR="00082A47" w:rsidRPr="00082A47" w:rsidRDefault="00082A47" w:rsidP="00082A47">
            <w:pPr>
              <w:spacing w:after="0" w:line="240" w:lineRule="auto"/>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number of contracts directly awarded under direct award process B</w:t>
            </w:r>
          </w:p>
        </w:tc>
        <w:tc>
          <w:tcPr>
            <w:tcW w:w="1134" w:type="dxa"/>
            <w:noWrap/>
            <w:vAlign w:val="bottom"/>
            <w:hideMark/>
          </w:tcPr>
          <w:p w14:paraId="229B2943" w14:textId="77777777" w:rsidR="00082A47" w:rsidRPr="00082A47" w:rsidRDefault="00082A47" w:rsidP="00082A47">
            <w:pPr>
              <w:spacing w:after="0" w:line="240" w:lineRule="auto"/>
              <w:jc w:val="right"/>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0</w:t>
            </w:r>
          </w:p>
        </w:tc>
      </w:tr>
      <w:tr w:rsidR="00082A47" w:rsidRPr="00082A47" w14:paraId="1B6397CE" w14:textId="77777777" w:rsidTr="005C5DAD">
        <w:trPr>
          <w:trHeight w:val="269"/>
        </w:trPr>
        <w:tc>
          <w:tcPr>
            <w:tcW w:w="7508" w:type="dxa"/>
            <w:vAlign w:val="bottom"/>
            <w:hideMark/>
          </w:tcPr>
          <w:p w14:paraId="24B16549" w14:textId="77777777" w:rsidR="00082A47" w:rsidRPr="00082A47" w:rsidRDefault="00082A47" w:rsidP="00082A47">
            <w:pPr>
              <w:spacing w:after="0" w:line="240" w:lineRule="auto"/>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number of contracts directly awarded under direct award process C</w:t>
            </w:r>
          </w:p>
        </w:tc>
        <w:tc>
          <w:tcPr>
            <w:tcW w:w="1134" w:type="dxa"/>
            <w:noWrap/>
            <w:vAlign w:val="bottom"/>
            <w:hideMark/>
          </w:tcPr>
          <w:p w14:paraId="4487736B" w14:textId="77777777" w:rsidR="00082A47" w:rsidRPr="00082A47" w:rsidRDefault="00082A47" w:rsidP="00082A47">
            <w:pPr>
              <w:spacing w:after="0" w:line="240" w:lineRule="auto"/>
              <w:jc w:val="right"/>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4</w:t>
            </w:r>
          </w:p>
        </w:tc>
      </w:tr>
      <w:tr w:rsidR="00082A47" w:rsidRPr="00082A47" w14:paraId="1078DBB2" w14:textId="77777777" w:rsidTr="005C5DAD">
        <w:trPr>
          <w:trHeight w:val="273"/>
        </w:trPr>
        <w:tc>
          <w:tcPr>
            <w:tcW w:w="7508" w:type="dxa"/>
            <w:vAlign w:val="bottom"/>
            <w:hideMark/>
          </w:tcPr>
          <w:p w14:paraId="56C37BB2" w14:textId="77777777" w:rsidR="00082A47" w:rsidRPr="00082A47" w:rsidRDefault="00082A47" w:rsidP="00082A47">
            <w:pPr>
              <w:spacing w:after="0" w:line="240" w:lineRule="auto"/>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number of contracts awarded under the most suitable provider process</w:t>
            </w:r>
          </w:p>
        </w:tc>
        <w:tc>
          <w:tcPr>
            <w:tcW w:w="1134" w:type="dxa"/>
            <w:noWrap/>
            <w:vAlign w:val="bottom"/>
            <w:hideMark/>
          </w:tcPr>
          <w:p w14:paraId="246D4EE8" w14:textId="77777777" w:rsidR="00082A47" w:rsidRPr="00082A47" w:rsidRDefault="00082A47" w:rsidP="00082A47">
            <w:pPr>
              <w:spacing w:after="0" w:line="240" w:lineRule="auto"/>
              <w:jc w:val="right"/>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0</w:t>
            </w:r>
          </w:p>
        </w:tc>
      </w:tr>
      <w:tr w:rsidR="00082A47" w:rsidRPr="00082A47" w14:paraId="1DA1161B" w14:textId="77777777" w:rsidTr="005C5DAD">
        <w:trPr>
          <w:trHeight w:val="277"/>
        </w:trPr>
        <w:tc>
          <w:tcPr>
            <w:tcW w:w="7508" w:type="dxa"/>
            <w:vAlign w:val="bottom"/>
            <w:hideMark/>
          </w:tcPr>
          <w:p w14:paraId="07910519" w14:textId="77777777" w:rsidR="00082A47" w:rsidRPr="00082A47" w:rsidRDefault="00082A47" w:rsidP="00082A47">
            <w:pPr>
              <w:spacing w:after="0" w:line="240" w:lineRule="auto"/>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number of contracts awarded under the competitive process</w:t>
            </w:r>
          </w:p>
        </w:tc>
        <w:tc>
          <w:tcPr>
            <w:tcW w:w="1134" w:type="dxa"/>
            <w:noWrap/>
            <w:vAlign w:val="bottom"/>
            <w:hideMark/>
          </w:tcPr>
          <w:p w14:paraId="617D43DB" w14:textId="77777777" w:rsidR="00082A47" w:rsidRPr="00082A47" w:rsidRDefault="00082A47" w:rsidP="00082A47">
            <w:pPr>
              <w:spacing w:after="0" w:line="240" w:lineRule="auto"/>
              <w:jc w:val="right"/>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0</w:t>
            </w:r>
          </w:p>
        </w:tc>
      </w:tr>
      <w:tr w:rsidR="00082A47" w:rsidRPr="00082A47" w14:paraId="59AA5CEB" w14:textId="77777777" w:rsidTr="005C5DAD">
        <w:trPr>
          <w:trHeight w:val="290"/>
        </w:trPr>
        <w:tc>
          <w:tcPr>
            <w:tcW w:w="7508" w:type="dxa"/>
            <w:vAlign w:val="bottom"/>
            <w:hideMark/>
          </w:tcPr>
          <w:p w14:paraId="47D9D2B7" w14:textId="77777777" w:rsidR="00082A47" w:rsidRPr="00082A47" w:rsidRDefault="00082A47" w:rsidP="00082A47">
            <w:pPr>
              <w:spacing w:after="0" w:line="240" w:lineRule="auto"/>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number of framework agreements concluded</w:t>
            </w:r>
          </w:p>
        </w:tc>
        <w:tc>
          <w:tcPr>
            <w:tcW w:w="1134" w:type="dxa"/>
            <w:noWrap/>
            <w:vAlign w:val="bottom"/>
            <w:hideMark/>
          </w:tcPr>
          <w:p w14:paraId="0A758635" w14:textId="77777777" w:rsidR="00082A47" w:rsidRPr="00082A47" w:rsidRDefault="00082A47" w:rsidP="00082A47">
            <w:pPr>
              <w:spacing w:after="0" w:line="240" w:lineRule="auto"/>
              <w:jc w:val="right"/>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0</w:t>
            </w:r>
          </w:p>
        </w:tc>
      </w:tr>
      <w:tr w:rsidR="00082A47" w:rsidRPr="00082A47" w14:paraId="5BCE8CE7" w14:textId="77777777" w:rsidTr="005C5DAD">
        <w:trPr>
          <w:trHeight w:val="257"/>
        </w:trPr>
        <w:tc>
          <w:tcPr>
            <w:tcW w:w="7508" w:type="dxa"/>
            <w:vAlign w:val="bottom"/>
            <w:hideMark/>
          </w:tcPr>
          <w:p w14:paraId="77BB9004" w14:textId="77777777" w:rsidR="00082A47" w:rsidRPr="00082A47" w:rsidRDefault="00082A47" w:rsidP="00082A47">
            <w:pPr>
              <w:spacing w:after="0" w:line="240" w:lineRule="auto"/>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number of contracts awarded based on a framework agreement</w:t>
            </w:r>
          </w:p>
        </w:tc>
        <w:tc>
          <w:tcPr>
            <w:tcW w:w="1134" w:type="dxa"/>
            <w:noWrap/>
            <w:vAlign w:val="bottom"/>
            <w:hideMark/>
          </w:tcPr>
          <w:p w14:paraId="7190D1D3" w14:textId="77777777" w:rsidR="00082A47" w:rsidRPr="00082A47" w:rsidRDefault="00082A47" w:rsidP="00082A47">
            <w:pPr>
              <w:spacing w:after="0" w:line="240" w:lineRule="auto"/>
              <w:jc w:val="right"/>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0</w:t>
            </w:r>
          </w:p>
        </w:tc>
      </w:tr>
      <w:tr w:rsidR="00082A47" w:rsidRPr="00082A47" w14:paraId="246CDB9C" w14:textId="77777777" w:rsidTr="005C5DAD">
        <w:trPr>
          <w:trHeight w:val="260"/>
        </w:trPr>
        <w:tc>
          <w:tcPr>
            <w:tcW w:w="7508" w:type="dxa"/>
            <w:vAlign w:val="bottom"/>
            <w:hideMark/>
          </w:tcPr>
          <w:p w14:paraId="1E00607F" w14:textId="77777777" w:rsidR="00082A47" w:rsidRPr="00082A47" w:rsidRDefault="00082A47" w:rsidP="00082A47">
            <w:pPr>
              <w:spacing w:after="0" w:line="240" w:lineRule="auto"/>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number of urgent contracts awarded and urgent modifications</w:t>
            </w:r>
          </w:p>
        </w:tc>
        <w:tc>
          <w:tcPr>
            <w:tcW w:w="1134" w:type="dxa"/>
            <w:noWrap/>
            <w:vAlign w:val="bottom"/>
            <w:hideMark/>
          </w:tcPr>
          <w:p w14:paraId="0F82B52B" w14:textId="77777777" w:rsidR="00082A47" w:rsidRPr="00082A47" w:rsidRDefault="00082A47" w:rsidP="00082A47">
            <w:pPr>
              <w:spacing w:after="0" w:line="240" w:lineRule="auto"/>
              <w:jc w:val="right"/>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0</w:t>
            </w:r>
          </w:p>
        </w:tc>
      </w:tr>
      <w:tr w:rsidR="00082A47" w:rsidRPr="00082A47" w14:paraId="24F065C7" w14:textId="77777777" w:rsidTr="005C5DAD">
        <w:trPr>
          <w:trHeight w:val="290"/>
        </w:trPr>
        <w:tc>
          <w:tcPr>
            <w:tcW w:w="7508" w:type="dxa"/>
            <w:vAlign w:val="bottom"/>
            <w:hideMark/>
          </w:tcPr>
          <w:p w14:paraId="7F31B0DB" w14:textId="77777777" w:rsidR="00082A47" w:rsidRPr="00082A47" w:rsidRDefault="00082A47" w:rsidP="00082A47">
            <w:pPr>
              <w:spacing w:after="0" w:line="240" w:lineRule="auto"/>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number of new providers awarded contracts</w:t>
            </w:r>
          </w:p>
        </w:tc>
        <w:tc>
          <w:tcPr>
            <w:tcW w:w="1134" w:type="dxa"/>
            <w:noWrap/>
            <w:vAlign w:val="bottom"/>
            <w:hideMark/>
          </w:tcPr>
          <w:p w14:paraId="305AC2D0" w14:textId="77777777" w:rsidR="00082A47" w:rsidRPr="00082A47" w:rsidRDefault="00082A47" w:rsidP="00082A47">
            <w:pPr>
              <w:spacing w:after="0" w:line="240" w:lineRule="auto"/>
              <w:jc w:val="right"/>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0</w:t>
            </w:r>
          </w:p>
        </w:tc>
      </w:tr>
      <w:tr w:rsidR="00082A47" w:rsidRPr="00082A47" w14:paraId="605A0B44" w14:textId="77777777" w:rsidTr="005C5DAD">
        <w:trPr>
          <w:trHeight w:val="254"/>
        </w:trPr>
        <w:tc>
          <w:tcPr>
            <w:tcW w:w="7508" w:type="dxa"/>
            <w:vAlign w:val="bottom"/>
            <w:hideMark/>
          </w:tcPr>
          <w:p w14:paraId="357D5052" w14:textId="77777777" w:rsidR="00082A47" w:rsidRPr="00082A47" w:rsidRDefault="00082A47" w:rsidP="00082A47">
            <w:pPr>
              <w:spacing w:after="0" w:line="240" w:lineRule="auto"/>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number of providers who ceased to hold any contracts with the relevant authority</w:t>
            </w:r>
          </w:p>
        </w:tc>
        <w:tc>
          <w:tcPr>
            <w:tcW w:w="1134" w:type="dxa"/>
            <w:noWrap/>
            <w:vAlign w:val="bottom"/>
            <w:hideMark/>
          </w:tcPr>
          <w:p w14:paraId="237F2924" w14:textId="77777777" w:rsidR="00082A47" w:rsidRPr="00082A47" w:rsidRDefault="00082A47" w:rsidP="00082A47">
            <w:pPr>
              <w:spacing w:after="0" w:line="240" w:lineRule="auto"/>
              <w:jc w:val="right"/>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0</w:t>
            </w:r>
          </w:p>
        </w:tc>
      </w:tr>
      <w:tr w:rsidR="00082A47" w:rsidRPr="00082A47" w14:paraId="059D747C" w14:textId="77777777" w:rsidTr="005C5DAD">
        <w:trPr>
          <w:trHeight w:val="1804"/>
        </w:trPr>
        <w:tc>
          <w:tcPr>
            <w:tcW w:w="7508" w:type="dxa"/>
            <w:vAlign w:val="bottom"/>
            <w:hideMark/>
          </w:tcPr>
          <w:p w14:paraId="796F0A97" w14:textId="7728CF4E" w:rsidR="00082A47" w:rsidRPr="00082A47" w:rsidRDefault="00082A47" w:rsidP="00082A47">
            <w:pPr>
              <w:spacing w:after="0" w:line="240" w:lineRule="auto"/>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details of representations received, including:</w:t>
            </w:r>
            <w:r w:rsidRPr="00082A47">
              <w:rPr>
                <w:rFonts w:ascii="Aptos Narrow" w:eastAsia="Times New Roman" w:hAnsi="Aptos Narrow" w:cs="Times New Roman"/>
                <w:color w:val="000000"/>
                <w:kern w:val="0"/>
                <w:sz w:val="22"/>
                <w:szCs w:val="22"/>
                <w:lang w:eastAsia="en-GB"/>
                <w14:ligatures w14:val="none"/>
              </w:rPr>
              <w:br/>
              <w:t>the number of representations received in writing and during the standstill period in accordance with Regulation 12(3)</w:t>
            </w:r>
            <w:r w:rsidRPr="00082A47">
              <w:rPr>
                <w:rFonts w:ascii="Aptos Narrow" w:eastAsia="Times New Roman" w:hAnsi="Aptos Narrow" w:cs="Times New Roman"/>
                <w:color w:val="000000"/>
                <w:kern w:val="0"/>
                <w:sz w:val="22"/>
                <w:szCs w:val="22"/>
                <w:lang w:eastAsia="en-GB"/>
                <w14:ligatures w14:val="none"/>
              </w:rPr>
              <w:br/>
            </w:r>
            <w:r w:rsidRPr="00082A47">
              <w:rPr>
                <w:rFonts w:ascii="Aptos Narrow" w:eastAsia="Times New Roman" w:hAnsi="Aptos Narrow" w:cs="Times New Roman"/>
                <w:color w:val="000000"/>
                <w:kern w:val="0"/>
                <w:sz w:val="22"/>
                <w:szCs w:val="22"/>
                <w:lang w:eastAsia="en-GB"/>
                <w14:ligatures w14:val="none"/>
              </w:rPr>
              <w:br/>
              <w:t>summary of the outcome of all representations received and of the nature and impact of those representations.</w:t>
            </w:r>
          </w:p>
        </w:tc>
        <w:tc>
          <w:tcPr>
            <w:tcW w:w="1134" w:type="dxa"/>
            <w:noWrap/>
            <w:vAlign w:val="bottom"/>
            <w:hideMark/>
          </w:tcPr>
          <w:p w14:paraId="33F6295C" w14:textId="77777777" w:rsidR="00082A47" w:rsidRPr="00082A47" w:rsidRDefault="00082A47" w:rsidP="00082A47">
            <w:pPr>
              <w:spacing w:after="0" w:line="240" w:lineRule="auto"/>
              <w:jc w:val="right"/>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0</w:t>
            </w:r>
          </w:p>
        </w:tc>
      </w:tr>
      <w:tr w:rsidR="00082A47" w:rsidRPr="00082A47" w14:paraId="78549E02" w14:textId="77777777" w:rsidTr="005C5DAD">
        <w:trPr>
          <w:trHeight w:val="343"/>
        </w:trPr>
        <w:tc>
          <w:tcPr>
            <w:tcW w:w="7508" w:type="dxa"/>
            <w:vAlign w:val="bottom"/>
            <w:hideMark/>
          </w:tcPr>
          <w:p w14:paraId="33C568FC" w14:textId="15E60997" w:rsidR="00082A47" w:rsidRPr="00082A47" w:rsidRDefault="00082A47" w:rsidP="00082A47">
            <w:pPr>
              <w:spacing w:after="0" w:line="240" w:lineRule="auto"/>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total number of providers the relevant authority is currently co</w:t>
            </w:r>
            <w:r w:rsidR="005C5DAD">
              <w:rPr>
                <w:rFonts w:ascii="Aptos Narrow" w:eastAsia="Times New Roman" w:hAnsi="Aptos Narrow" w:cs="Times New Roman"/>
                <w:color w:val="000000"/>
                <w:kern w:val="0"/>
                <w:sz w:val="22"/>
                <w:szCs w:val="22"/>
                <w:lang w:eastAsia="en-GB"/>
                <w14:ligatures w14:val="none"/>
              </w:rPr>
              <w:t>n</w:t>
            </w:r>
            <w:r w:rsidRPr="00082A47">
              <w:rPr>
                <w:rFonts w:ascii="Aptos Narrow" w:eastAsia="Times New Roman" w:hAnsi="Aptos Narrow" w:cs="Times New Roman"/>
                <w:color w:val="000000"/>
                <w:kern w:val="0"/>
                <w:sz w:val="22"/>
                <w:szCs w:val="22"/>
                <w:lang w:eastAsia="en-GB"/>
                <w14:ligatures w14:val="none"/>
              </w:rPr>
              <w:t>tracted with</w:t>
            </w:r>
          </w:p>
        </w:tc>
        <w:tc>
          <w:tcPr>
            <w:tcW w:w="1134" w:type="dxa"/>
            <w:noWrap/>
            <w:vAlign w:val="bottom"/>
            <w:hideMark/>
          </w:tcPr>
          <w:p w14:paraId="37594FBC" w14:textId="4AC4CFC7" w:rsidR="00082A47" w:rsidRPr="00082A47" w:rsidRDefault="00781BFA" w:rsidP="007E3B92">
            <w:pPr>
              <w:spacing w:after="0" w:line="240" w:lineRule="auto"/>
              <w:jc w:val="right"/>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3</w:t>
            </w:r>
          </w:p>
        </w:tc>
      </w:tr>
      <w:tr w:rsidR="00082A47" w:rsidRPr="00082A47" w14:paraId="7267C7E1" w14:textId="77777777" w:rsidTr="005C5DAD">
        <w:trPr>
          <w:trHeight w:val="277"/>
        </w:trPr>
        <w:tc>
          <w:tcPr>
            <w:tcW w:w="7508" w:type="dxa"/>
            <w:vAlign w:val="bottom"/>
            <w:hideMark/>
          </w:tcPr>
          <w:p w14:paraId="613EB433" w14:textId="77777777" w:rsidR="00082A47" w:rsidRPr="00082A47" w:rsidRDefault="00082A47" w:rsidP="00082A47">
            <w:pPr>
              <w:spacing w:after="0" w:line="240" w:lineRule="auto"/>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details of any reviews by the Independent Patient Choice and Procurement Panel:</w:t>
            </w:r>
          </w:p>
        </w:tc>
        <w:tc>
          <w:tcPr>
            <w:tcW w:w="1134" w:type="dxa"/>
            <w:noWrap/>
            <w:vAlign w:val="bottom"/>
            <w:hideMark/>
          </w:tcPr>
          <w:p w14:paraId="3D9403EF" w14:textId="77777777" w:rsidR="00082A47" w:rsidRPr="00082A47" w:rsidRDefault="00082A47" w:rsidP="00082A47">
            <w:pPr>
              <w:spacing w:after="0" w:line="240" w:lineRule="auto"/>
              <w:jc w:val="right"/>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0</w:t>
            </w:r>
          </w:p>
        </w:tc>
      </w:tr>
      <w:tr w:rsidR="00082A47" w:rsidRPr="00082A47" w14:paraId="4A5FB49F" w14:textId="77777777" w:rsidTr="00BB63A8">
        <w:trPr>
          <w:trHeight w:val="492"/>
        </w:trPr>
        <w:tc>
          <w:tcPr>
            <w:tcW w:w="7508" w:type="dxa"/>
            <w:vAlign w:val="bottom"/>
            <w:hideMark/>
          </w:tcPr>
          <w:p w14:paraId="126BFDB3" w14:textId="77777777" w:rsidR="00082A47" w:rsidRPr="00082A47" w:rsidRDefault="00082A47" w:rsidP="00082A47">
            <w:pPr>
              <w:spacing w:after="0" w:line="240" w:lineRule="auto"/>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number of requests for consideration received by the Independent Patient Choice and Procurement Panel</w:t>
            </w:r>
          </w:p>
        </w:tc>
        <w:tc>
          <w:tcPr>
            <w:tcW w:w="1134" w:type="dxa"/>
            <w:noWrap/>
            <w:vAlign w:val="bottom"/>
            <w:hideMark/>
          </w:tcPr>
          <w:p w14:paraId="53F07259" w14:textId="77777777" w:rsidR="00082A47" w:rsidRPr="00082A47" w:rsidRDefault="00082A47" w:rsidP="00082A47">
            <w:pPr>
              <w:spacing w:after="0" w:line="240" w:lineRule="auto"/>
              <w:jc w:val="right"/>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0</w:t>
            </w:r>
          </w:p>
        </w:tc>
      </w:tr>
      <w:tr w:rsidR="00082A47" w:rsidRPr="00082A47" w14:paraId="28FC360A" w14:textId="77777777" w:rsidTr="00BB63A8">
        <w:trPr>
          <w:trHeight w:val="514"/>
        </w:trPr>
        <w:tc>
          <w:tcPr>
            <w:tcW w:w="7508" w:type="dxa"/>
            <w:vAlign w:val="bottom"/>
            <w:hideMark/>
          </w:tcPr>
          <w:p w14:paraId="54A10E01" w14:textId="77777777" w:rsidR="00082A47" w:rsidRPr="00082A47" w:rsidRDefault="00082A47" w:rsidP="00082A47">
            <w:pPr>
              <w:spacing w:after="0" w:line="240" w:lineRule="auto"/>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number of requests accepted and rejected by the Independent Patient Choice and Procurement Panel for consideration</w:t>
            </w:r>
          </w:p>
        </w:tc>
        <w:tc>
          <w:tcPr>
            <w:tcW w:w="1134" w:type="dxa"/>
            <w:noWrap/>
            <w:vAlign w:val="bottom"/>
            <w:hideMark/>
          </w:tcPr>
          <w:p w14:paraId="41A318D3" w14:textId="77777777" w:rsidR="00082A47" w:rsidRPr="00082A47" w:rsidRDefault="00082A47" w:rsidP="00082A47">
            <w:pPr>
              <w:spacing w:after="0" w:line="240" w:lineRule="auto"/>
              <w:jc w:val="right"/>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0</w:t>
            </w:r>
          </w:p>
        </w:tc>
      </w:tr>
      <w:tr w:rsidR="00082A47" w:rsidRPr="00082A47" w14:paraId="7CE5CD23" w14:textId="77777777" w:rsidTr="00BB63A8">
        <w:trPr>
          <w:trHeight w:val="678"/>
        </w:trPr>
        <w:tc>
          <w:tcPr>
            <w:tcW w:w="7508" w:type="dxa"/>
            <w:vAlign w:val="bottom"/>
            <w:hideMark/>
          </w:tcPr>
          <w:p w14:paraId="6EB1D9DF" w14:textId="77777777" w:rsidR="00082A47" w:rsidRPr="00082A47" w:rsidRDefault="00082A47" w:rsidP="00082A47">
            <w:pPr>
              <w:spacing w:after="0" w:line="240" w:lineRule="auto"/>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number of times where the Independent Patient Choice and Procurement Panel advised the relevant authority to re-run or go back to an earlier step in a provider selection process under the PSR, and the number of times the advice was followed.</w:t>
            </w:r>
          </w:p>
        </w:tc>
        <w:tc>
          <w:tcPr>
            <w:tcW w:w="1134" w:type="dxa"/>
            <w:noWrap/>
            <w:vAlign w:val="bottom"/>
            <w:hideMark/>
          </w:tcPr>
          <w:p w14:paraId="380041B7" w14:textId="77777777" w:rsidR="00082A47" w:rsidRPr="00082A47" w:rsidRDefault="00082A47" w:rsidP="00082A47">
            <w:pPr>
              <w:spacing w:after="0" w:line="240" w:lineRule="auto"/>
              <w:jc w:val="right"/>
              <w:rPr>
                <w:rFonts w:ascii="Aptos Narrow" w:eastAsia="Times New Roman" w:hAnsi="Aptos Narrow" w:cs="Times New Roman"/>
                <w:color w:val="000000"/>
                <w:kern w:val="0"/>
                <w:sz w:val="22"/>
                <w:szCs w:val="22"/>
                <w:lang w:eastAsia="en-GB"/>
                <w14:ligatures w14:val="none"/>
              </w:rPr>
            </w:pPr>
            <w:r w:rsidRPr="00082A47">
              <w:rPr>
                <w:rFonts w:ascii="Aptos Narrow" w:eastAsia="Times New Roman" w:hAnsi="Aptos Narrow" w:cs="Times New Roman"/>
                <w:color w:val="000000"/>
                <w:kern w:val="0"/>
                <w:sz w:val="22"/>
                <w:szCs w:val="22"/>
                <w:lang w:eastAsia="en-GB"/>
                <w14:ligatures w14:val="none"/>
              </w:rPr>
              <w:t>0</w:t>
            </w:r>
          </w:p>
        </w:tc>
      </w:tr>
    </w:tbl>
    <w:p w14:paraId="1691C430" w14:textId="4B4ADFB0" w:rsidR="005063E9" w:rsidRDefault="005063E9"/>
    <w:p w14:paraId="3D8A1D59" w14:textId="77777777" w:rsidR="005C5DAD" w:rsidRDefault="005C5DAD">
      <w:pPr>
        <w:rPr>
          <w:b/>
          <w:bCs/>
        </w:rPr>
      </w:pPr>
      <w:r>
        <w:rPr>
          <w:b/>
          <w:bCs/>
        </w:rPr>
        <w:br w:type="page"/>
      </w:r>
    </w:p>
    <w:p w14:paraId="15EE195D" w14:textId="0E3FB832" w:rsidR="00714B6A" w:rsidRPr="00714B6A" w:rsidRDefault="00714B6A" w:rsidP="00714B6A">
      <w:pPr>
        <w:rPr>
          <w:b/>
          <w:bCs/>
        </w:rPr>
      </w:pPr>
      <w:r w:rsidRPr="00714B6A">
        <w:rPr>
          <w:b/>
          <w:bCs/>
        </w:rPr>
        <w:lastRenderedPageBreak/>
        <w:t xml:space="preserve">Appendix 1: </w:t>
      </w:r>
      <w:r w:rsidR="005E7B69">
        <w:rPr>
          <w:b/>
          <w:bCs/>
        </w:rPr>
        <w:t>G</w:t>
      </w:r>
      <w:r w:rsidR="00380E86">
        <w:rPr>
          <w:b/>
          <w:bCs/>
        </w:rPr>
        <w:t>uidance</w:t>
      </w:r>
      <w:r w:rsidR="005E7B69">
        <w:rPr>
          <w:b/>
          <w:bCs/>
        </w:rPr>
        <w:t xml:space="preserve"> </w:t>
      </w:r>
      <w:proofErr w:type="gramStart"/>
      <w:r w:rsidR="005E7B69">
        <w:rPr>
          <w:b/>
          <w:bCs/>
        </w:rPr>
        <w:t>note</w:t>
      </w:r>
      <w:proofErr w:type="gramEnd"/>
      <w:r w:rsidR="00380E86">
        <w:rPr>
          <w:b/>
          <w:bCs/>
        </w:rPr>
        <w:t xml:space="preserve"> </w:t>
      </w:r>
      <w:r w:rsidRPr="00714B6A">
        <w:rPr>
          <w:b/>
          <w:bCs/>
        </w:rPr>
        <w:t xml:space="preserve">  </w:t>
      </w:r>
    </w:p>
    <w:p w14:paraId="48815ABC" w14:textId="776FC539" w:rsidR="00714B6A" w:rsidRPr="00245D8C" w:rsidRDefault="00714B6A" w:rsidP="00714B6A">
      <w:r w:rsidRPr="00245D8C">
        <w:t>The Provider Selection Regime (PSR) is a set of rules introduced by the UK government on 1st January 2024 to guide how NHS bodies and local authorities select providers of healthcare services.</w:t>
      </w:r>
    </w:p>
    <w:p w14:paraId="2582B657" w14:textId="77777777" w:rsidR="00714B6A" w:rsidRPr="00245D8C" w:rsidRDefault="00714B6A" w:rsidP="00714B6A">
      <w:r w:rsidRPr="00245D8C">
        <w:t>It replaced some parts of the old public procurement rules (like those under the Public Contracts Regulations 2015) for healthcare services, making the process simpler, more flexible, and focused on patient outcomes rather than just cost.</w:t>
      </w:r>
    </w:p>
    <w:p w14:paraId="2299EB7E" w14:textId="77777777" w:rsidR="00714B6A" w:rsidRPr="00245D8C" w:rsidRDefault="00714B6A" w:rsidP="00714B6A">
      <w:pPr>
        <w:rPr>
          <w:u w:val="single"/>
        </w:rPr>
      </w:pPr>
      <w:r w:rsidRPr="00245D8C">
        <w:rPr>
          <w:u w:val="single"/>
        </w:rPr>
        <w:t>How Providers are Selected.</w:t>
      </w:r>
    </w:p>
    <w:p w14:paraId="05EC09FB" w14:textId="77777777" w:rsidR="00714B6A" w:rsidRPr="00245D8C" w:rsidRDefault="00714B6A" w:rsidP="00714B6A">
      <w:r w:rsidRPr="00245D8C">
        <w:t>Under the PSR, authorities can choose providers using one of five processes listed below:</w:t>
      </w:r>
    </w:p>
    <w:p w14:paraId="4B47A76B" w14:textId="77777777" w:rsidR="00714B6A" w:rsidRPr="00245D8C" w:rsidRDefault="00714B6A" w:rsidP="00714B6A">
      <w:r w:rsidRPr="00245D8C">
        <w:rPr>
          <w:u w:val="single"/>
        </w:rPr>
        <w:t>Direct award process A:</w:t>
      </w:r>
      <w:r w:rsidRPr="00245D8C">
        <w:t xml:space="preserve"> Can be used when </w:t>
      </w:r>
      <w:proofErr w:type="gramStart"/>
      <w:r w:rsidRPr="00245D8C">
        <w:t>all of</w:t>
      </w:r>
      <w:proofErr w:type="gramEnd"/>
      <w:r w:rsidRPr="00245D8C">
        <w:t xml:space="preserve"> the following apply:</w:t>
      </w:r>
    </w:p>
    <w:p w14:paraId="16EE876B" w14:textId="77777777" w:rsidR="00714B6A" w:rsidRPr="00245D8C" w:rsidRDefault="00714B6A" w:rsidP="00714B6A">
      <w:pPr>
        <w:numPr>
          <w:ilvl w:val="0"/>
          <w:numId w:val="2"/>
        </w:numPr>
      </w:pPr>
      <w:r w:rsidRPr="00245D8C">
        <w:t>There is an existing provider of the healthcare services to which the proposed contracting arrangements relate.</w:t>
      </w:r>
    </w:p>
    <w:p w14:paraId="57CDDBA7" w14:textId="77777777" w:rsidR="00714B6A" w:rsidRPr="00245D8C" w:rsidRDefault="00714B6A" w:rsidP="00714B6A">
      <w:pPr>
        <w:numPr>
          <w:ilvl w:val="0"/>
          <w:numId w:val="2"/>
        </w:numPr>
      </w:pPr>
      <w:r w:rsidRPr="00245D8C">
        <w:t>The relevant authority is satisfied that the healthcare services to which the proposed contracting arrangements relate can only be provided by the existing provider (or group of providers) due to the nature of the healthcare services.</w:t>
      </w:r>
    </w:p>
    <w:p w14:paraId="0F706FF6" w14:textId="77777777" w:rsidR="00714B6A" w:rsidRPr="00245D8C" w:rsidRDefault="00714B6A" w:rsidP="00714B6A">
      <w:pPr>
        <w:numPr>
          <w:ilvl w:val="0"/>
          <w:numId w:val="2"/>
        </w:numPr>
      </w:pPr>
      <w:r w:rsidRPr="00245D8C">
        <w:t>The type of service means there is no realistic alternative to the current provider.</w:t>
      </w:r>
    </w:p>
    <w:p w14:paraId="6783DF1F" w14:textId="77777777" w:rsidR="00714B6A" w:rsidRPr="00245D8C" w:rsidRDefault="00714B6A" w:rsidP="00714B6A">
      <w:r w:rsidRPr="00245D8C">
        <w:t>Direct award process A must not be used to award contracts when establishing a new service or to establish or conclude a framework agreement.</w:t>
      </w:r>
    </w:p>
    <w:p w14:paraId="49138F4A" w14:textId="77777777" w:rsidR="00714B6A" w:rsidRPr="00245D8C" w:rsidRDefault="00714B6A" w:rsidP="00714B6A">
      <w:r w:rsidRPr="00245D8C">
        <w:rPr>
          <w:u w:val="single"/>
        </w:rPr>
        <w:t>Direct award process B:</w:t>
      </w:r>
      <w:r w:rsidRPr="00245D8C">
        <w:t xml:space="preserve"> Can be used when </w:t>
      </w:r>
      <w:proofErr w:type="gramStart"/>
      <w:r w:rsidRPr="00245D8C">
        <w:t>all of</w:t>
      </w:r>
      <w:proofErr w:type="gramEnd"/>
      <w:r w:rsidRPr="00245D8C">
        <w:t xml:space="preserve"> the following apply:</w:t>
      </w:r>
    </w:p>
    <w:p w14:paraId="0E6CDA5C" w14:textId="77777777" w:rsidR="00714B6A" w:rsidRPr="00245D8C" w:rsidRDefault="00714B6A" w:rsidP="00714B6A">
      <w:pPr>
        <w:numPr>
          <w:ilvl w:val="0"/>
          <w:numId w:val="2"/>
        </w:numPr>
      </w:pPr>
      <w:r w:rsidRPr="00245D8C">
        <w:t>The proposed contracting arrangements relate to healthcare services in respect of which a patient is offered a choice of provider and team.</w:t>
      </w:r>
    </w:p>
    <w:p w14:paraId="0101B20C" w14:textId="77777777" w:rsidR="00714B6A" w:rsidRPr="00245D8C" w:rsidRDefault="00714B6A" w:rsidP="00714B6A">
      <w:pPr>
        <w:numPr>
          <w:ilvl w:val="0"/>
          <w:numId w:val="2"/>
        </w:numPr>
      </w:pPr>
      <w:r w:rsidRPr="00245D8C">
        <w:t>The number of providers is not or cannot be restricted by the relevant authority.</w:t>
      </w:r>
    </w:p>
    <w:p w14:paraId="391839CC" w14:textId="77777777" w:rsidR="00714B6A" w:rsidRPr="00245D8C" w:rsidRDefault="00714B6A" w:rsidP="00714B6A">
      <w:pPr>
        <w:numPr>
          <w:ilvl w:val="0"/>
          <w:numId w:val="2"/>
        </w:numPr>
      </w:pPr>
      <w:r w:rsidRPr="00245D8C">
        <w:t>The relevant authority will offer contracts to all providers to which an award can be made when they meet all requirements in relation to the provision of the healthcare services to patients.</w:t>
      </w:r>
    </w:p>
    <w:p w14:paraId="12E34B68" w14:textId="20F777EF" w:rsidR="00714B6A" w:rsidRDefault="00714B6A" w:rsidP="00E304DE">
      <w:pPr>
        <w:numPr>
          <w:ilvl w:val="0"/>
          <w:numId w:val="2"/>
        </w:numPr>
      </w:pPr>
      <w:r w:rsidRPr="00245D8C">
        <w:t>The relevant authority has arrangements in place to enable providers to express an interest in providing the healthcare services.</w:t>
      </w:r>
    </w:p>
    <w:p w14:paraId="25F08A13" w14:textId="6A4FCFC9" w:rsidR="00714B6A" w:rsidRPr="00245D8C" w:rsidRDefault="00714B6A" w:rsidP="00714B6A">
      <w:r w:rsidRPr="00245D8C">
        <w:t>Direct award process B must not be used to conclude a framework agreement.</w:t>
      </w:r>
    </w:p>
    <w:p w14:paraId="17EDC443" w14:textId="77777777" w:rsidR="00714B6A" w:rsidRPr="00245D8C" w:rsidRDefault="00714B6A" w:rsidP="00714B6A">
      <w:r w:rsidRPr="00245D8C">
        <w:rPr>
          <w:u w:val="single"/>
        </w:rPr>
        <w:lastRenderedPageBreak/>
        <w:t>Direct award process C:</w:t>
      </w:r>
      <w:r w:rsidRPr="00245D8C">
        <w:t xml:space="preserve"> Can be used when </w:t>
      </w:r>
      <w:proofErr w:type="gramStart"/>
      <w:r w:rsidRPr="00245D8C">
        <w:t>all of</w:t>
      </w:r>
      <w:proofErr w:type="gramEnd"/>
      <w:r w:rsidRPr="00245D8C">
        <w:t xml:space="preserve"> the following apply:</w:t>
      </w:r>
    </w:p>
    <w:p w14:paraId="178EEB26" w14:textId="77777777" w:rsidR="00714B6A" w:rsidRPr="00245D8C" w:rsidRDefault="00714B6A" w:rsidP="00714B6A">
      <w:pPr>
        <w:numPr>
          <w:ilvl w:val="0"/>
          <w:numId w:val="2"/>
        </w:numPr>
      </w:pPr>
      <w:r w:rsidRPr="00245D8C">
        <w:t>The relevant authority is not required to follow direct award processes A or B.</w:t>
      </w:r>
    </w:p>
    <w:p w14:paraId="60DFDC1B" w14:textId="77777777" w:rsidR="00714B6A" w:rsidRPr="00245D8C" w:rsidRDefault="00714B6A" w:rsidP="00714B6A">
      <w:pPr>
        <w:numPr>
          <w:ilvl w:val="0"/>
          <w:numId w:val="2"/>
        </w:numPr>
      </w:pPr>
      <w:r w:rsidRPr="00245D8C">
        <w:t xml:space="preserve">The term of an existing contract is due to </w:t>
      </w:r>
      <w:proofErr w:type="gramStart"/>
      <w:r w:rsidRPr="00245D8C">
        <w:t>expire</w:t>
      </w:r>
      <w:proofErr w:type="gramEnd"/>
      <w:r w:rsidRPr="00245D8C">
        <w:t xml:space="preserve"> and the relevant authority proposes a new contract to replace that existing contract at the end of its term.</w:t>
      </w:r>
    </w:p>
    <w:p w14:paraId="070BE6B5" w14:textId="77777777" w:rsidR="00714B6A" w:rsidRPr="00245D8C" w:rsidRDefault="00714B6A" w:rsidP="00714B6A">
      <w:pPr>
        <w:numPr>
          <w:ilvl w:val="0"/>
          <w:numId w:val="2"/>
        </w:numPr>
      </w:pPr>
      <w:r w:rsidRPr="00245D8C">
        <w:t>The proposed contracting arrangements are not changing considerably from the existing contracting arrangements.</w:t>
      </w:r>
    </w:p>
    <w:p w14:paraId="6E9E5AA2" w14:textId="77777777" w:rsidR="00714B6A" w:rsidRPr="00245D8C" w:rsidRDefault="00714B6A" w:rsidP="00714B6A">
      <w:pPr>
        <w:numPr>
          <w:ilvl w:val="0"/>
          <w:numId w:val="2"/>
        </w:numPr>
      </w:pPr>
      <w:r w:rsidRPr="00245D8C">
        <w:t>The relevant authority is of the view that the existing provider (or group of providers) is satisfying the existing contract and will likely satisfy the proposed contract to a sufficient standard.</w:t>
      </w:r>
    </w:p>
    <w:p w14:paraId="4C07F17C" w14:textId="77777777" w:rsidR="00714B6A" w:rsidRPr="00245D8C" w:rsidRDefault="00714B6A" w:rsidP="00714B6A">
      <w:r w:rsidRPr="00245D8C">
        <w:t>Direct award process C must not be used to establish a framework agreement.</w:t>
      </w:r>
    </w:p>
    <w:p w14:paraId="67C80CF8" w14:textId="77777777" w:rsidR="00714B6A" w:rsidRPr="00245D8C" w:rsidRDefault="00714B6A" w:rsidP="00714B6A">
      <w:r w:rsidRPr="00245D8C">
        <w:rPr>
          <w:u w:val="single"/>
        </w:rPr>
        <w:t>Most suitable provider process:</w:t>
      </w:r>
      <w:r w:rsidRPr="00245D8C">
        <w:t xml:space="preserve"> The authority makes a judgement on which provider is most suitable based on consideration of the key criteria; and awards without a competitive tender.</w:t>
      </w:r>
    </w:p>
    <w:p w14:paraId="00A667A8" w14:textId="77777777" w:rsidR="00714B6A" w:rsidRPr="00245D8C" w:rsidRDefault="00714B6A" w:rsidP="00714B6A">
      <w:r w:rsidRPr="00245D8C">
        <w:t>Used when all the following apply:</w:t>
      </w:r>
    </w:p>
    <w:p w14:paraId="0AE3382E" w14:textId="77777777" w:rsidR="00714B6A" w:rsidRPr="00245D8C" w:rsidRDefault="00714B6A" w:rsidP="00714B6A">
      <w:pPr>
        <w:numPr>
          <w:ilvl w:val="0"/>
          <w:numId w:val="2"/>
        </w:numPr>
      </w:pPr>
      <w:r w:rsidRPr="00245D8C">
        <w:t>The relevant authority is not required to follow direct award processes A or B.</w:t>
      </w:r>
    </w:p>
    <w:p w14:paraId="49EEED44" w14:textId="77777777" w:rsidR="00714B6A" w:rsidRPr="00245D8C" w:rsidRDefault="00714B6A" w:rsidP="00714B6A">
      <w:pPr>
        <w:numPr>
          <w:ilvl w:val="0"/>
          <w:numId w:val="2"/>
        </w:numPr>
      </w:pPr>
      <w:r w:rsidRPr="00245D8C">
        <w:t>The relevant authority cannot or does not wish to follow direct award process C.</w:t>
      </w:r>
    </w:p>
    <w:p w14:paraId="6E1123A7" w14:textId="77777777" w:rsidR="00714B6A" w:rsidRPr="00245D8C" w:rsidRDefault="00714B6A" w:rsidP="00714B6A">
      <w:pPr>
        <w:numPr>
          <w:ilvl w:val="0"/>
          <w:numId w:val="2"/>
        </w:numPr>
      </w:pPr>
      <w:r w:rsidRPr="00245D8C">
        <w:t>The relevant authority is of the view that it is likely to be able to identify the most suitable provider (without running a competitive process) – considering its ambitions for the service for which it is contracting (as reflected in the weight it is giving to each of the key criteria) and all relevant information available to the relevant authority at the time.</w:t>
      </w:r>
    </w:p>
    <w:p w14:paraId="2291AD03" w14:textId="77777777" w:rsidR="00714B6A" w:rsidRPr="00245D8C" w:rsidRDefault="00714B6A" w:rsidP="00714B6A">
      <w:r w:rsidRPr="00245D8C">
        <w:t>The most suitable provider process can be used to arrange new or existing services but must not be used to establish a framework agreement.</w:t>
      </w:r>
    </w:p>
    <w:p w14:paraId="49A722EE" w14:textId="77777777" w:rsidR="00714B6A" w:rsidRPr="00245D8C" w:rsidRDefault="00714B6A" w:rsidP="00714B6A">
      <w:r w:rsidRPr="00245D8C">
        <w:rPr>
          <w:u w:val="single"/>
        </w:rPr>
        <w:t>Competitive process:</w:t>
      </w:r>
      <w:r w:rsidRPr="00245D8C">
        <w:t xml:space="preserve"> Where the authority cannot use any of the other processes or wishes to run a competitive exercise.</w:t>
      </w:r>
    </w:p>
    <w:p w14:paraId="2BF3F24F" w14:textId="77777777" w:rsidR="00714B6A" w:rsidRPr="00245D8C" w:rsidRDefault="00714B6A" w:rsidP="00714B6A">
      <w:r w:rsidRPr="00245D8C">
        <w:t>Relevant authorities may design and run the competitive process in any way they choose so long as this complies with the procurement principles of the PSR and with the steps outlined below.</w:t>
      </w:r>
    </w:p>
    <w:p w14:paraId="48A37F1D" w14:textId="77777777" w:rsidR="00714B6A" w:rsidRPr="00245D8C" w:rsidRDefault="00714B6A" w:rsidP="00714B6A">
      <w:r w:rsidRPr="00245D8C">
        <w:t>Can be used when both of the following apply:</w:t>
      </w:r>
    </w:p>
    <w:p w14:paraId="43506123" w14:textId="77777777" w:rsidR="00714B6A" w:rsidRPr="00245D8C" w:rsidRDefault="00714B6A" w:rsidP="00714B6A">
      <w:pPr>
        <w:numPr>
          <w:ilvl w:val="0"/>
          <w:numId w:val="2"/>
        </w:numPr>
      </w:pPr>
      <w:r w:rsidRPr="00245D8C">
        <w:t>The relevant authority is not required to follow direct award processes A or B.</w:t>
      </w:r>
    </w:p>
    <w:p w14:paraId="7DAB613D" w14:textId="77777777" w:rsidR="00714B6A" w:rsidRPr="00245D8C" w:rsidRDefault="00714B6A" w:rsidP="00714B6A">
      <w:pPr>
        <w:numPr>
          <w:ilvl w:val="0"/>
          <w:numId w:val="2"/>
        </w:numPr>
      </w:pPr>
      <w:r w:rsidRPr="00245D8C">
        <w:lastRenderedPageBreak/>
        <w:t>The relevant authority cannot or does not wish to follow direct award process C or the most suitable provider process</w:t>
      </w:r>
    </w:p>
    <w:p w14:paraId="32BE6616" w14:textId="77777777" w:rsidR="00714B6A" w:rsidRPr="00245D8C" w:rsidRDefault="00714B6A" w:rsidP="00714B6A">
      <w:r w:rsidRPr="00245D8C">
        <w:t>The competitive process must be used if the relevant authority wishes to conclude a framework agreement.</w:t>
      </w:r>
    </w:p>
    <w:p w14:paraId="4D5F1675" w14:textId="77777777" w:rsidR="00714B6A" w:rsidRPr="00245D8C" w:rsidRDefault="00714B6A" w:rsidP="00714B6A">
      <w:pPr>
        <w:rPr>
          <w:u w:val="single"/>
        </w:rPr>
      </w:pPr>
      <w:r w:rsidRPr="00245D8C">
        <w:rPr>
          <w:u w:val="single"/>
        </w:rPr>
        <w:t>Transparency and accountability.</w:t>
      </w:r>
    </w:p>
    <w:p w14:paraId="53ED76BF" w14:textId="77777777" w:rsidR="00714B6A" w:rsidRPr="00245D8C" w:rsidRDefault="00714B6A" w:rsidP="00714B6A">
      <w:r w:rsidRPr="00245D8C">
        <w:t>Although the PSR allows greater flexibility, it also requires openness, helping to ensure that the public and stakeholders can see how decisions are made.</w:t>
      </w:r>
    </w:p>
    <w:p w14:paraId="57F15AF9" w14:textId="77777777" w:rsidR="00714B6A" w:rsidRPr="00245D8C" w:rsidRDefault="00714B6A" w:rsidP="00714B6A">
      <w:r w:rsidRPr="00245D8C">
        <w:t>With the above in mind, Brent Council publishes:</w:t>
      </w:r>
    </w:p>
    <w:p w14:paraId="613BD746" w14:textId="77777777" w:rsidR="00714B6A" w:rsidRPr="00245D8C" w:rsidRDefault="00714B6A" w:rsidP="00714B6A">
      <w:pPr>
        <w:numPr>
          <w:ilvl w:val="0"/>
          <w:numId w:val="3"/>
        </w:numPr>
      </w:pPr>
      <w:r w:rsidRPr="00245D8C">
        <w:t>Transparency notices explaining decisions such as direct awards.</w:t>
      </w:r>
    </w:p>
    <w:p w14:paraId="4FBE89F2" w14:textId="77777777" w:rsidR="00714B6A" w:rsidRPr="00245D8C" w:rsidRDefault="00714B6A" w:rsidP="00714B6A">
      <w:pPr>
        <w:numPr>
          <w:ilvl w:val="0"/>
          <w:numId w:val="3"/>
        </w:numPr>
      </w:pPr>
      <w:r w:rsidRPr="00245D8C">
        <w:t>Contract award notices confirming which providers have been appointed.</w:t>
      </w:r>
    </w:p>
    <w:p w14:paraId="48F70B82" w14:textId="43EF8C56" w:rsidR="00714B6A" w:rsidRDefault="00714B6A" w:rsidP="00DD4C34">
      <w:pPr>
        <w:numPr>
          <w:ilvl w:val="0"/>
          <w:numId w:val="3"/>
        </w:numPr>
      </w:pPr>
      <w:r w:rsidRPr="00245D8C">
        <w:t>Annual Summary of contracting activity under the Provider Selection Regime (PSR).</w:t>
      </w:r>
    </w:p>
    <w:sectPr w:rsidR="00714B6A" w:rsidSect="00B22943">
      <w:headerReference w:type="default" r:id="rId7"/>
      <w:footerReference w:type="default" r:id="rId8"/>
      <w:pgSz w:w="11906" w:h="16838"/>
      <w:pgMar w:top="277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FF76A" w14:textId="77777777" w:rsidR="007F7BEE" w:rsidRDefault="007F7BEE" w:rsidP="00F951E6">
      <w:pPr>
        <w:spacing w:after="0" w:line="240" w:lineRule="auto"/>
      </w:pPr>
      <w:r>
        <w:separator/>
      </w:r>
    </w:p>
  </w:endnote>
  <w:endnote w:type="continuationSeparator" w:id="0">
    <w:p w14:paraId="203875A1" w14:textId="77777777" w:rsidR="007F7BEE" w:rsidRDefault="007F7BEE" w:rsidP="00F95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Narrow">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691550"/>
      <w:docPartObj>
        <w:docPartGallery w:val="Page Numbers (Bottom of Page)"/>
        <w:docPartUnique/>
      </w:docPartObj>
    </w:sdtPr>
    <w:sdtEndPr/>
    <w:sdtContent>
      <w:p w14:paraId="77015978" w14:textId="057DB69A" w:rsidR="005E7B69" w:rsidRDefault="005E7B69">
        <w:pPr>
          <w:pStyle w:val="Footer"/>
          <w:jc w:val="center"/>
        </w:pPr>
        <w:r>
          <w:fldChar w:fldCharType="begin"/>
        </w:r>
        <w:r>
          <w:instrText>PAGE   \* MERGEFORMAT</w:instrText>
        </w:r>
        <w:r>
          <w:fldChar w:fldCharType="separate"/>
        </w:r>
        <w:r>
          <w:t>2</w:t>
        </w:r>
        <w:r>
          <w:fldChar w:fldCharType="end"/>
        </w:r>
      </w:p>
    </w:sdtContent>
  </w:sdt>
  <w:p w14:paraId="6EC7DEFF" w14:textId="575F1DA6" w:rsidR="00F47E7F" w:rsidRPr="000C216D" w:rsidRDefault="00F47E7F" w:rsidP="00F951E6">
    <w:pPr>
      <w:pStyle w:val="Footer"/>
      <w:rPr>
        <w:rFonts w:cs="Arial"/>
        <w:color w:val="747474"/>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6F607" w14:textId="77777777" w:rsidR="007F7BEE" w:rsidRDefault="007F7BEE" w:rsidP="00F951E6">
      <w:pPr>
        <w:spacing w:after="0" w:line="240" w:lineRule="auto"/>
      </w:pPr>
      <w:r>
        <w:separator/>
      </w:r>
    </w:p>
  </w:footnote>
  <w:footnote w:type="continuationSeparator" w:id="0">
    <w:p w14:paraId="2317A74F" w14:textId="77777777" w:rsidR="007F7BEE" w:rsidRDefault="007F7BEE" w:rsidP="00F951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9FEF9" w14:textId="27F361A1" w:rsidR="00F951E6" w:rsidRDefault="00F951E6">
    <w:pPr>
      <w:pStyle w:val="Header"/>
    </w:pPr>
    <w:r>
      <w:rPr>
        <w:noProof/>
        <w:lang w:eastAsia="en-GB"/>
      </w:rPr>
      <w:drawing>
        <wp:inline distT="0" distB="0" distL="0" distR="0" wp14:anchorId="3EF52293" wp14:editId="6A6CFC65">
          <wp:extent cx="2340610" cy="887095"/>
          <wp:effectExtent l="0" t="0" r="2540" b="8255"/>
          <wp:docPr id="1236640285" name="Picture 1" descr="A logo with a colorful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640285" name="Picture 1" descr="A logo with a colorful circ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870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A76AA"/>
    <w:multiLevelType w:val="hybridMultilevel"/>
    <w:tmpl w:val="AF3C240A"/>
    <w:lvl w:ilvl="0" w:tplc="CF2E8D50">
      <w:numFmt w:val="bullet"/>
      <w:lvlText w:val="-"/>
      <w:lvlJc w:val="left"/>
      <w:pPr>
        <w:ind w:left="360"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3109513A"/>
    <w:multiLevelType w:val="hybridMultilevel"/>
    <w:tmpl w:val="D966CA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59C22AF7"/>
    <w:multiLevelType w:val="hybridMultilevel"/>
    <w:tmpl w:val="189A0DA8"/>
    <w:lvl w:ilvl="0" w:tplc="CF2E8D50">
      <w:numFmt w:val="bullet"/>
      <w:lvlText w:val="-"/>
      <w:lvlJc w:val="left"/>
      <w:pPr>
        <w:ind w:left="360" w:hanging="360"/>
      </w:pPr>
      <w:rPr>
        <w:rFonts w:ascii="Arial" w:eastAsia="Times New Roman" w:hAnsi="Arial" w:cs="Arial" w:hint="default"/>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start w:val="1"/>
      <w:numFmt w:val="bullet"/>
      <w:lvlText w:val=""/>
      <w:lvlJc w:val="left"/>
      <w:pPr>
        <w:ind w:left="2160" w:hanging="360"/>
      </w:pPr>
      <w:rPr>
        <w:rFonts w:ascii="Symbol" w:hAnsi="Symbol" w:hint="default"/>
      </w:rPr>
    </w:lvl>
    <w:lvl w:ilvl="4" w:tplc="08090003">
      <w:start w:val="1"/>
      <w:numFmt w:val="bullet"/>
      <w:lvlText w:val="o"/>
      <w:lvlJc w:val="left"/>
      <w:pPr>
        <w:ind w:left="2880" w:hanging="360"/>
      </w:pPr>
      <w:rPr>
        <w:rFonts w:ascii="Courier New" w:hAnsi="Courier New" w:cs="Courier New" w:hint="default"/>
      </w:rPr>
    </w:lvl>
    <w:lvl w:ilvl="5" w:tplc="08090005">
      <w:start w:val="1"/>
      <w:numFmt w:val="bullet"/>
      <w:lvlText w:val=""/>
      <w:lvlJc w:val="left"/>
      <w:pPr>
        <w:ind w:left="3600" w:hanging="360"/>
      </w:pPr>
      <w:rPr>
        <w:rFonts w:ascii="Wingdings" w:hAnsi="Wingdings" w:hint="default"/>
      </w:rPr>
    </w:lvl>
    <w:lvl w:ilvl="6" w:tplc="08090001">
      <w:start w:val="1"/>
      <w:numFmt w:val="bullet"/>
      <w:lvlText w:val=""/>
      <w:lvlJc w:val="left"/>
      <w:pPr>
        <w:ind w:left="4320" w:hanging="360"/>
      </w:pPr>
      <w:rPr>
        <w:rFonts w:ascii="Symbol" w:hAnsi="Symbol" w:hint="default"/>
      </w:rPr>
    </w:lvl>
    <w:lvl w:ilvl="7" w:tplc="08090003">
      <w:start w:val="1"/>
      <w:numFmt w:val="bullet"/>
      <w:lvlText w:val="o"/>
      <w:lvlJc w:val="left"/>
      <w:pPr>
        <w:ind w:left="5040" w:hanging="360"/>
      </w:pPr>
      <w:rPr>
        <w:rFonts w:ascii="Courier New" w:hAnsi="Courier New" w:cs="Courier New" w:hint="default"/>
      </w:rPr>
    </w:lvl>
    <w:lvl w:ilvl="8" w:tplc="08090005">
      <w:start w:val="1"/>
      <w:numFmt w:val="bullet"/>
      <w:lvlText w:val=""/>
      <w:lvlJc w:val="left"/>
      <w:pPr>
        <w:ind w:left="5760" w:hanging="360"/>
      </w:pPr>
      <w:rPr>
        <w:rFonts w:ascii="Wingdings" w:hAnsi="Wingdings" w:hint="default"/>
      </w:rPr>
    </w:lvl>
  </w:abstractNum>
  <w:num w:numId="1" w16cid:durableId="999430999">
    <w:abstractNumId w:val="1"/>
  </w:num>
  <w:num w:numId="2" w16cid:durableId="27537754">
    <w:abstractNumId w:val="0"/>
  </w:num>
  <w:num w:numId="3" w16cid:durableId="18759250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3E9"/>
    <w:rsid w:val="00072F63"/>
    <w:rsid w:val="00082A47"/>
    <w:rsid w:val="00095DCC"/>
    <w:rsid w:val="000B5DD1"/>
    <w:rsid w:val="000C216D"/>
    <w:rsid w:val="00166619"/>
    <w:rsid w:val="001D31B9"/>
    <w:rsid w:val="002C28DE"/>
    <w:rsid w:val="002F72C8"/>
    <w:rsid w:val="00312836"/>
    <w:rsid w:val="00380E86"/>
    <w:rsid w:val="005063E9"/>
    <w:rsid w:val="005C5DAD"/>
    <w:rsid w:val="005E7B69"/>
    <w:rsid w:val="00714B6A"/>
    <w:rsid w:val="00781BFA"/>
    <w:rsid w:val="0078687F"/>
    <w:rsid w:val="007C2ECA"/>
    <w:rsid w:val="007E3B92"/>
    <w:rsid w:val="007F7BEE"/>
    <w:rsid w:val="00A63259"/>
    <w:rsid w:val="00B052E9"/>
    <w:rsid w:val="00B22943"/>
    <w:rsid w:val="00B76977"/>
    <w:rsid w:val="00BB63A8"/>
    <w:rsid w:val="00C13C05"/>
    <w:rsid w:val="00CB0328"/>
    <w:rsid w:val="00CE7731"/>
    <w:rsid w:val="00D152DF"/>
    <w:rsid w:val="00DC0E19"/>
    <w:rsid w:val="00ED2860"/>
    <w:rsid w:val="00F47E7F"/>
    <w:rsid w:val="00F72C56"/>
    <w:rsid w:val="00F951E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CB9BA7"/>
  <w15:chartTrackingRefBased/>
  <w15:docId w15:val="{54A64018-49E0-4A17-94E2-3DF9D6298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63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63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63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63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63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63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63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63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63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3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63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63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63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63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63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63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63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63E9"/>
    <w:rPr>
      <w:rFonts w:eastAsiaTheme="majorEastAsia" w:cstheme="majorBidi"/>
      <w:color w:val="272727" w:themeColor="text1" w:themeTint="D8"/>
    </w:rPr>
  </w:style>
  <w:style w:type="paragraph" w:styleId="Title">
    <w:name w:val="Title"/>
    <w:basedOn w:val="Normal"/>
    <w:next w:val="Normal"/>
    <w:link w:val="TitleChar"/>
    <w:uiPriority w:val="10"/>
    <w:qFormat/>
    <w:rsid w:val="005063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63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63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63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63E9"/>
    <w:pPr>
      <w:spacing w:before="160"/>
      <w:jc w:val="center"/>
    </w:pPr>
    <w:rPr>
      <w:i/>
      <w:iCs/>
      <w:color w:val="404040" w:themeColor="text1" w:themeTint="BF"/>
    </w:rPr>
  </w:style>
  <w:style w:type="character" w:customStyle="1" w:styleId="QuoteChar">
    <w:name w:val="Quote Char"/>
    <w:basedOn w:val="DefaultParagraphFont"/>
    <w:link w:val="Quote"/>
    <w:uiPriority w:val="29"/>
    <w:rsid w:val="005063E9"/>
    <w:rPr>
      <w:i/>
      <w:iCs/>
      <w:color w:val="404040" w:themeColor="text1" w:themeTint="BF"/>
    </w:rPr>
  </w:style>
  <w:style w:type="paragraph" w:styleId="ListParagraph">
    <w:name w:val="List Paragraph"/>
    <w:basedOn w:val="Normal"/>
    <w:uiPriority w:val="34"/>
    <w:qFormat/>
    <w:rsid w:val="005063E9"/>
    <w:pPr>
      <w:ind w:left="720"/>
      <w:contextualSpacing/>
    </w:pPr>
  </w:style>
  <w:style w:type="character" w:styleId="IntenseEmphasis">
    <w:name w:val="Intense Emphasis"/>
    <w:basedOn w:val="DefaultParagraphFont"/>
    <w:uiPriority w:val="21"/>
    <w:qFormat/>
    <w:rsid w:val="005063E9"/>
    <w:rPr>
      <w:i/>
      <w:iCs/>
      <w:color w:val="0F4761" w:themeColor="accent1" w:themeShade="BF"/>
    </w:rPr>
  </w:style>
  <w:style w:type="paragraph" w:styleId="IntenseQuote">
    <w:name w:val="Intense Quote"/>
    <w:basedOn w:val="Normal"/>
    <w:next w:val="Normal"/>
    <w:link w:val="IntenseQuoteChar"/>
    <w:uiPriority w:val="30"/>
    <w:qFormat/>
    <w:rsid w:val="005063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63E9"/>
    <w:rPr>
      <w:i/>
      <w:iCs/>
      <w:color w:val="0F4761" w:themeColor="accent1" w:themeShade="BF"/>
    </w:rPr>
  </w:style>
  <w:style w:type="character" w:styleId="IntenseReference">
    <w:name w:val="Intense Reference"/>
    <w:basedOn w:val="DefaultParagraphFont"/>
    <w:uiPriority w:val="32"/>
    <w:qFormat/>
    <w:rsid w:val="005063E9"/>
    <w:rPr>
      <w:b/>
      <w:bCs/>
      <w:smallCaps/>
      <w:color w:val="0F4761" w:themeColor="accent1" w:themeShade="BF"/>
      <w:spacing w:val="5"/>
    </w:rPr>
  </w:style>
  <w:style w:type="table" w:styleId="TableGrid">
    <w:name w:val="Table Grid"/>
    <w:basedOn w:val="TableNormal"/>
    <w:uiPriority w:val="39"/>
    <w:rsid w:val="00F72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51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51E6"/>
  </w:style>
  <w:style w:type="paragraph" w:styleId="Footer">
    <w:name w:val="footer"/>
    <w:basedOn w:val="Normal"/>
    <w:link w:val="FooterChar"/>
    <w:uiPriority w:val="99"/>
    <w:unhideWhenUsed/>
    <w:rsid w:val="00F951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1E6"/>
  </w:style>
  <w:style w:type="character" w:styleId="Hyperlink">
    <w:name w:val="Hyperlink"/>
    <w:basedOn w:val="DefaultParagraphFont"/>
    <w:uiPriority w:val="99"/>
    <w:unhideWhenUsed/>
    <w:rsid w:val="00072F63"/>
    <w:rPr>
      <w:color w:val="467886" w:themeColor="hyperlink"/>
      <w:u w:val="single"/>
    </w:rPr>
  </w:style>
  <w:style w:type="character" w:styleId="UnresolvedMention">
    <w:name w:val="Unresolved Mention"/>
    <w:basedOn w:val="DefaultParagraphFont"/>
    <w:uiPriority w:val="99"/>
    <w:semiHidden/>
    <w:unhideWhenUsed/>
    <w:rsid w:val="00072F63"/>
    <w:rPr>
      <w:color w:val="605E5C"/>
      <w:shd w:val="clear" w:color="auto" w:fill="E1DFDD"/>
    </w:rPr>
  </w:style>
  <w:style w:type="character" w:styleId="CommentReference">
    <w:name w:val="annotation reference"/>
    <w:basedOn w:val="DefaultParagraphFont"/>
    <w:uiPriority w:val="99"/>
    <w:semiHidden/>
    <w:unhideWhenUsed/>
    <w:rsid w:val="00781BFA"/>
    <w:rPr>
      <w:sz w:val="16"/>
      <w:szCs w:val="16"/>
    </w:rPr>
  </w:style>
  <w:style w:type="paragraph" w:styleId="CommentText">
    <w:name w:val="annotation text"/>
    <w:basedOn w:val="Normal"/>
    <w:link w:val="CommentTextChar"/>
    <w:uiPriority w:val="99"/>
    <w:unhideWhenUsed/>
    <w:rsid w:val="00781BFA"/>
    <w:pPr>
      <w:spacing w:line="240" w:lineRule="auto"/>
    </w:pPr>
    <w:rPr>
      <w:sz w:val="20"/>
      <w:szCs w:val="20"/>
    </w:rPr>
  </w:style>
  <w:style w:type="character" w:customStyle="1" w:styleId="CommentTextChar">
    <w:name w:val="Comment Text Char"/>
    <w:basedOn w:val="DefaultParagraphFont"/>
    <w:link w:val="CommentText"/>
    <w:uiPriority w:val="99"/>
    <w:rsid w:val="00781BFA"/>
    <w:rPr>
      <w:sz w:val="20"/>
      <w:szCs w:val="20"/>
    </w:rPr>
  </w:style>
  <w:style w:type="paragraph" w:styleId="CommentSubject">
    <w:name w:val="annotation subject"/>
    <w:basedOn w:val="CommentText"/>
    <w:next w:val="CommentText"/>
    <w:link w:val="CommentSubjectChar"/>
    <w:uiPriority w:val="99"/>
    <w:semiHidden/>
    <w:unhideWhenUsed/>
    <w:rsid w:val="00781BFA"/>
    <w:rPr>
      <w:b/>
      <w:bCs/>
    </w:rPr>
  </w:style>
  <w:style w:type="character" w:customStyle="1" w:styleId="CommentSubjectChar">
    <w:name w:val="Comment Subject Char"/>
    <w:basedOn w:val="CommentTextChar"/>
    <w:link w:val="CommentSubject"/>
    <w:uiPriority w:val="99"/>
    <w:semiHidden/>
    <w:rsid w:val="00781BF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96297">
      <w:bodyDiv w:val="1"/>
      <w:marLeft w:val="0"/>
      <w:marRight w:val="0"/>
      <w:marTop w:val="0"/>
      <w:marBottom w:val="0"/>
      <w:divBdr>
        <w:top w:val="none" w:sz="0" w:space="0" w:color="auto"/>
        <w:left w:val="none" w:sz="0" w:space="0" w:color="auto"/>
        <w:bottom w:val="none" w:sz="0" w:space="0" w:color="auto"/>
        <w:right w:val="none" w:sz="0" w:space="0" w:color="auto"/>
      </w:divBdr>
    </w:div>
    <w:div w:id="225919664">
      <w:bodyDiv w:val="1"/>
      <w:marLeft w:val="0"/>
      <w:marRight w:val="0"/>
      <w:marTop w:val="0"/>
      <w:marBottom w:val="0"/>
      <w:divBdr>
        <w:top w:val="none" w:sz="0" w:space="0" w:color="auto"/>
        <w:left w:val="none" w:sz="0" w:space="0" w:color="auto"/>
        <w:bottom w:val="none" w:sz="0" w:space="0" w:color="auto"/>
        <w:right w:val="none" w:sz="0" w:space="0" w:color="auto"/>
      </w:divBdr>
    </w:div>
    <w:div w:id="302202088">
      <w:bodyDiv w:val="1"/>
      <w:marLeft w:val="0"/>
      <w:marRight w:val="0"/>
      <w:marTop w:val="0"/>
      <w:marBottom w:val="0"/>
      <w:divBdr>
        <w:top w:val="none" w:sz="0" w:space="0" w:color="auto"/>
        <w:left w:val="none" w:sz="0" w:space="0" w:color="auto"/>
        <w:bottom w:val="none" w:sz="0" w:space="0" w:color="auto"/>
        <w:right w:val="none" w:sz="0" w:space="0" w:color="auto"/>
      </w:divBdr>
    </w:div>
    <w:div w:id="590044552">
      <w:bodyDiv w:val="1"/>
      <w:marLeft w:val="0"/>
      <w:marRight w:val="0"/>
      <w:marTop w:val="0"/>
      <w:marBottom w:val="0"/>
      <w:divBdr>
        <w:top w:val="none" w:sz="0" w:space="0" w:color="auto"/>
        <w:left w:val="none" w:sz="0" w:space="0" w:color="auto"/>
        <w:bottom w:val="none" w:sz="0" w:space="0" w:color="auto"/>
        <w:right w:val="none" w:sz="0" w:space="0" w:color="auto"/>
      </w:divBdr>
    </w:div>
    <w:div w:id="920989792">
      <w:bodyDiv w:val="1"/>
      <w:marLeft w:val="0"/>
      <w:marRight w:val="0"/>
      <w:marTop w:val="0"/>
      <w:marBottom w:val="0"/>
      <w:divBdr>
        <w:top w:val="none" w:sz="0" w:space="0" w:color="auto"/>
        <w:left w:val="none" w:sz="0" w:space="0" w:color="auto"/>
        <w:bottom w:val="none" w:sz="0" w:space="0" w:color="auto"/>
        <w:right w:val="none" w:sz="0" w:space="0" w:color="auto"/>
      </w:divBdr>
    </w:div>
    <w:div w:id="1157916223">
      <w:bodyDiv w:val="1"/>
      <w:marLeft w:val="0"/>
      <w:marRight w:val="0"/>
      <w:marTop w:val="0"/>
      <w:marBottom w:val="0"/>
      <w:divBdr>
        <w:top w:val="none" w:sz="0" w:space="0" w:color="auto"/>
        <w:left w:val="none" w:sz="0" w:space="0" w:color="auto"/>
        <w:bottom w:val="none" w:sz="0" w:space="0" w:color="auto"/>
        <w:right w:val="none" w:sz="0" w:space="0" w:color="auto"/>
      </w:divBdr>
    </w:div>
    <w:div w:id="1588684385">
      <w:bodyDiv w:val="1"/>
      <w:marLeft w:val="0"/>
      <w:marRight w:val="0"/>
      <w:marTop w:val="0"/>
      <w:marBottom w:val="0"/>
      <w:divBdr>
        <w:top w:val="none" w:sz="0" w:space="0" w:color="auto"/>
        <w:left w:val="none" w:sz="0" w:space="0" w:color="auto"/>
        <w:bottom w:val="none" w:sz="0" w:space="0" w:color="auto"/>
        <w:right w:val="none" w:sz="0" w:space="0" w:color="auto"/>
      </w:divBdr>
    </w:div>
    <w:div w:id="1942712785">
      <w:bodyDiv w:val="1"/>
      <w:marLeft w:val="0"/>
      <w:marRight w:val="0"/>
      <w:marTop w:val="0"/>
      <w:marBottom w:val="0"/>
      <w:divBdr>
        <w:top w:val="none" w:sz="0" w:space="0" w:color="auto"/>
        <w:left w:val="none" w:sz="0" w:space="0" w:color="auto"/>
        <w:bottom w:val="none" w:sz="0" w:space="0" w:color="auto"/>
        <w:right w:val="none" w:sz="0" w:space="0" w:color="auto"/>
      </w:divBdr>
    </w:div>
    <w:div w:id="197593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995</Words>
  <Characters>5675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Mistry, Bhavin</dc:creator>
  <cp:keywords/>
  <dc:description/>
  <cp:lastModifiedBy>Mistry, Bhavin</cp:lastModifiedBy>
  <cp:revision>4</cp:revision>
  <dcterms:created xsi:type="dcterms:W3CDTF">2026-09-22T10:47:00Z</dcterms:created>
  <dcterms:modified xsi:type="dcterms:W3CDTF">2026-09-22T11:02:00Z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1122550842</vt:i4>
  </property>
  <property fmtid="{D5CDD505-2E9C-101B-9397-08002B2CF9AE}" pid="3" name="_NewReviewCycle">
    <vt:lpwstr/>
  </property>
  <property fmtid="{D5CDD505-2E9C-101B-9397-08002B2CF9AE}" pid="4" name="_EmailSubject">
    <vt:lpwstr>Provider Selection Regime Annual report for open data - final products/sign off</vt:lpwstr>
  </property>
  <property fmtid="{D5CDD505-2E9C-101B-9397-08002B2CF9AE}" pid="5" name="_AuthorEmail">
    <vt:lpwstr>Bhavin.Mistry@brent.gov.uk</vt:lpwstr>
  </property>
  <property fmtid="{D5CDD505-2E9C-101B-9397-08002B2CF9AE}" pid="6" name="_AuthorEmailDisplayName">
    <vt:lpwstr>Mistry, Bhavin</vt:lpwstr>
  </property>
  <property fmtid="{D5CDD505-2E9C-101B-9397-08002B2CF9AE}" pid="8" name="_PreviousAdHocReviewCycleID">
    <vt:i4>-1963669648</vt:i4>
  </property>
</Properties>
</file>